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14" w:rsidRDefault="005D5814" w:rsidP="006D6F6E">
      <w:pPr>
        <w:jc w:val="center"/>
        <w:rPr>
          <w:rFonts w:ascii="Times New Roman" w:hAnsi="Times New Roman" w:cs="Times New Roman"/>
          <w:sz w:val="24"/>
          <w:szCs w:val="24"/>
        </w:rPr>
      </w:pPr>
    </w:p>
    <w:p w:rsidR="006D6F6E" w:rsidRDefault="006D6F6E" w:rsidP="006D6F6E">
      <w:pPr>
        <w:jc w:val="center"/>
        <w:rPr>
          <w:rFonts w:ascii="Times New Roman" w:hAnsi="Times New Roman" w:cs="Times New Roman"/>
          <w:sz w:val="24"/>
          <w:szCs w:val="24"/>
        </w:rPr>
      </w:pPr>
    </w:p>
    <w:p w:rsidR="006D6F6E" w:rsidRDefault="006D6F6E" w:rsidP="006D6F6E">
      <w:pPr>
        <w:jc w:val="center"/>
        <w:rPr>
          <w:rFonts w:ascii="Times New Roman" w:hAnsi="Times New Roman" w:cs="Times New Roman"/>
          <w:sz w:val="24"/>
          <w:szCs w:val="24"/>
        </w:rPr>
      </w:pPr>
    </w:p>
    <w:p w:rsidR="006D6F6E" w:rsidRDefault="006D6F6E" w:rsidP="006D6F6E">
      <w:pPr>
        <w:jc w:val="center"/>
        <w:rPr>
          <w:rFonts w:ascii="Times New Roman" w:hAnsi="Times New Roman" w:cs="Times New Roman"/>
          <w:sz w:val="24"/>
          <w:szCs w:val="24"/>
        </w:rPr>
      </w:pPr>
    </w:p>
    <w:p w:rsidR="006D6F6E" w:rsidRDefault="006D6F6E" w:rsidP="006D6F6E">
      <w:pPr>
        <w:jc w:val="center"/>
        <w:rPr>
          <w:rFonts w:ascii="Times New Roman" w:hAnsi="Times New Roman" w:cs="Times New Roman"/>
          <w:sz w:val="24"/>
          <w:szCs w:val="24"/>
        </w:rPr>
      </w:pPr>
    </w:p>
    <w:p w:rsidR="006D6F6E" w:rsidRDefault="006D6F6E" w:rsidP="006D6F6E">
      <w:pPr>
        <w:jc w:val="center"/>
        <w:rPr>
          <w:rFonts w:ascii="Times New Roman" w:hAnsi="Times New Roman" w:cs="Times New Roman"/>
          <w:sz w:val="24"/>
          <w:szCs w:val="24"/>
        </w:rPr>
      </w:pPr>
    </w:p>
    <w:p w:rsidR="006D6F6E" w:rsidRDefault="006D6F6E" w:rsidP="006D6F6E">
      <w:pPr>
        <w:jc w:val="center"/>
        <w:rPr>
          <w:rFonts w:ascii="Times New Roman" w:hAnsi="Times New Roman" w:cs="Times New Roman"/>
          <w:sz w:val="24"/>
          <w:szCs w:val="24"/>
        </w:rPr>
      </w:pPr>
    </w:p>
    <w:p w:rsidR="006D6F6E" w:rsidRDefault="006D6F6E" w:rsidP="006D6F6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Kise case studies one and two</w:t>
      </w:r>
    </w:p>
    <w:p w:rsidR="006D6F6E" w:rsidRDefault="006D6F6E" w:rsidP="006D6F6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Shawn Kise BSN, RN</w:t>
      </w:r>
    </w:p>
    <w:p w:rsidR="006D6F6E" w:rsidRDefault="006D6F6E" w:rsidP="006D6F6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Wright State University</w:t>
      </w:r>
    </w:p>
    <w:p w:rsidR="006D6F6E" w:rsidRDefault="006D6F6E" w:rsidP="006D6F6E">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Nursing 7202</w:t>
      </w:r>
    </w:p>
    <w:p w:rsidR="006D6F6E" w:rsidRDefault="006D6F6E">
      <w:pPr>
        <w:rPr>
          <w:rFonts w:ascii="Times New Roman" w:hAnsi="Times New Roman" w:cs="Times New Roman"/>
          <w:sz w:val="24"/>
          <w:szCs w:val="24"/>
        </w:rPr>
      </w:pPr>
      <w:r>
        <w:rPr>
          <w:rFonts w:ascii="Times New Roman" w:hAnsi="Times New Roman" w:cs="Times New Roman"/>
          <w:sz w:val="24"/>
          <w:szCs w:val="24"/>
        </w:rPr>
        <w:br w:type="page"/>
      </w:r>
    </w:p>
    <w:p w:rsidR="0068280B" w:rsidRDefault="00466FBE" w:rsidP="00650FE5">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Kise Case Studies One and Two</w:t>
      </w:r>
    </w:p>
    <w:p w:rsidR="006D6F6E" w:rsidRDefault="0068280B" w:rsidP="00650FE5">
      <w:pPr>
        <w:spacing w:line="480" w:lineRule="auto"/>
        <w:contextualSpacing/>
        <w:jc w:val="center"/>
        <w:rPr>
          <w:rFonts w:ascii="Times New Roman" w:hAnsi="Times New Roman" w:cs="Times New Roman"/>
          <w:sz w:val="24"/>
          <w:szCs w:val="24"/>
        </w:rPr>
      </w:pPr>
      <w:r w:rsidRPr="0068280B">
        <w:rPr>
          <w:rFonts w:ascii="Times New Roman" w:hAnsi="Times New Roman" w:cs="Times New Roman"/>
          <w:b/>
          <w:sz w:val="24"/>
          <w:szCs w:val="24"/>
        </w:rPr>
        <w:t xml:space="preserve">Case </w:t>
      </w:r>
      <w:r w:rsidR="00595C2B">
        <w:rPr>
          <w:rFonts w:ascii="Times New Roman" w:hAnsi="Times New Roman" w:cs="Times New Roman"/>
          <w:b/>
          <w:sz w:val="24"/>
          <w:szCs w:val="24"/>
        </w:rPr>
        <w:t>Study</w:t>
      </w:r>
      <w:r w:rsidRPr="0068280B">
        <w:rPr>
          <w:rFonts w:ascii="Times New Roman" w:hAnsi="Times New Roman" w:cs="Times New Roman"/>
          <w:b/>
          <w:sz w:val="24"/>
          <w:szCs w:val="24"/>
        </w:rPr>
        <w:t xml:space="preserve"> </w:t>
      </w:r>
      <w:r w:rsidR="00595C2B">
        <w:rPr>
          <w:rFonts w:ascii="Times New Roman" w:hAnsi="Times New Roman" w:cs="Times New Roman"/>
          <w:b/>
          <w:sz w:val="24"/>
          <w:szCs w:val="24"/>
        </w:rPr>
        <w:t>One</w:t>
      </w:r>
    </w:p>
    <w:p w:rsidR="00650FE5" w:rsidRDefault="00650FE5" w:rsidP="00650FE5">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1. What are potential etiologies of this patient’s symptoms? Provide rationale for your answer. Use a variety of references. Prioritize your list from most likely diagnosis to least likely diagnosis.</w:t>
      </w:r>
    </w:p>
    <w:p w:rsidR="00650FE5" w:rsidRDefault="00650FE5" w:rsidP="00650FE5">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rPr>
        <w:tab/>
      </w:r>
      <w:r>
        <w:rPr>
          <w:rFonts w:ascii="Times New Roman" w:hAnsi="Times New Roman" w:cs="Times New Roman"/>
          <w:b/>
          <w:sz w:val="24"/>
          <w:szCs w:val="24"/>
        </w:rPr>
        <w:t xml:space="preserve"> </w:t>
      </w:r>
      <w:r w:rsidR="00E96614">
        <w:rPr>
          <w:rFonts w:ascii="Times New Roman" w:hAnsi="Times New Roman" w:cs="Times New Roman"/>
          <w:sz w:val="24"/>
          <w:szCs w:val="24"/>
        </w:rPr>
        <w:t>There are many possible diagnoses for this patient’s symptoms</w:t>
      </w:r>
      <w:r w:rsidR="002C4B1E">
        <w:rPr>
          <w:rFonts w:ascii="Times New Roman" w:hAnsi="Times New Roman" w:cs="Times New Roman"/>
          <w:sz w:val="24"/>
          <w:szCs w:val="24"/>
        </w:rPr>
        <w:t xml:space="preserve"> of severe headache, nausea</w:t>
      </w:r>
      <w:r w:rsidR="007815E9">
        <w:rPr>
          <w:rFonts w:ascii="Times New Roman" w:hAnsi="Times New Roman" w:cs="Times New Roman"/>
          <w:sz w:val="24"/>
          <w:szCs w:val="24"/>
        </w:rPr>
        <w:t>,</w:t>
      </w:r>
      <w:r w:rsidR="002C4B1E">
        <w:rPr>
          <w:rFonts w:ascii="Times New Roman" w:hAnsi="Times New Roman" w:cs="Times New Roman"/>
          <w:sz w:val="24"/>
          <w:szCs w:val="24"/>
        </w:rPr>
        <w:t xml:space="preserve"> vomiting, fever, and photophobia</w:t>
      </w:r>
      <w:r w:rsidR="00E96614">
        <w:rPr>
          <w:rFonts w:ascii="Times New Roman" w:hAnsi="Times New Roman" w:cs="Times New Roman"/>
          <w:sz w:val="24"/>
          <w:szCs w:val="24"/>
        </w:rPr>
        <w:t>.  Using the patients past medical history and recent medical treatment as a guide to the potential etiologies</w:t>
      </w:r>
      <w:r w:rsidR="002C4B1E">
        <w:rPr>
          <w:rFonts w:ascii="Times New Roman" w:hAnsi="Times New Roman" w:cs="Times New Roman"/>
          <w:sz w:val="24"/>
          <w:szCs w:val="24"/>
        </w:rPr>
        <w:t>,</w:t>
      </w:r>
      <w:r w:rsidR="00E96614">
        <w:rPr>
          <w:rFonts w:ascii="Times New Roman" w:hAnsi="Times New Roman" w:cs="Times New Roman"/>
          <w:sz w:val="24"/>
          <w:szCs w:val="24"/>
        </w:rPr>
        <w:t xml:space="preserve"> </w:t>
      </w:r>
      <w:r w:rsidR="002C4B1E">
        <w:rPr>
          <w:rFonts w:ascii="Times New Roman" w:hAnsi="Times New Roman" w:cs="Times New Roman"/>
          <w:sz w:val="24"/>
          <w:szCs w:val="24"/>
        </w:rPr>
        <w:t>the</w:t>
      </w:r>
      <w:r w:rsidR="00D25E22">
        <w:rPr>
          <w:rFonts w:ascii="Times New Roman" w:hAnsi="Times New Roman" w:cs="Times New Roman"/>
          <w:sz w:val="24"/>
          <w:szCs w:val="24"/>
        </w:rPr>
        <w:t xml:space="preserve"> most likely </w:t>
      </w:r>
      <w:r w:rsidR="002C4B1E">
        <w:rPr>
          <w:rFonts w:ascii="Times New Roman" w:hAnsi="Times New Roman" w:cs="Times New Roman"/>
          <w:sz w:val="24"/>
          <w:szCs w:val="24"/>
        </w:rPr>
        <w:t xml:space="preserve">diagnosis is </w:t>
      </w:r>
      <w:r w:rsidR="00AF6DBC">
        <w:rPr>
          <w:rFonts w:ascii="Times New Roman" w:hAnsi="Times New Roman" w:cs="Times New Roman"/>
          <w:sz w:val="24"/>
          <w:szCs w:val="24"/>
        </w:rPr>
        <w:t xml:space="preserve">thyrotoxicosis or </w:t>
      </w:r>
      <w:r w:rsidR="002C4B1E">
        <w:rPr>
          <w:rFonts w:ascii="Times New Roman" w:hAnsi="Times New Roman" w:cs="Times New Roman"/>
          <w:sz w:val="24"/>
          <w:szCs w:val="24"/>
        </w:rPr>
        <w:t xml:space="preserve">thyroid storm.  In this </w:t>
      </w:r>
      <w:r w:rsidR="00051224">
        <w:rPr>
          <w:rFonts w:ascii="Times New Roman" w:hAnsi="Times New Roman" w:cs="Times New Roman"/>
          <w:sz w:val="24"/>
          <w:szCs w:val="24"/>
        </w:rPr>
        <w:t>case study</w:t>
      </w:r>
      <w:r w:rsidR="007815E9">
        <w:rPr>
          <w:rFonts w:ascii="Times New Roman" w:hAnsi="Times New Roman" w:cs="Times New Roman"/>
          <w:sz w:val="24"/>
          <w:szCs w:val="24"/>
        </w:rPr>
        <w:t>,</w:t>
      </w:r>
      <w:r w:rsidR="002C4B1E">
        <w:rPr>
          <w:rFonts w:ascii="Times New Roman" w:hAnsi="Times New Roman" w:cs="Times New Roman"/>
          <w:sz w:val="24"/>
          <w:szCs w:val="24"/>
        </w:rPr>
        <w:t xml:space="preserve"> the patient had been diagnosed with </w:t>
      </w:r>
      <w:r w:rsidR="00B7312F">
        <w:rPr>
          <w:rFonts w:ascii="Times New Roman" w:hAnsi="Times New Roman" w:cs="Times New Roman"/>
          <w:sz w:val="24"/>
          <w:szCs w:val="24"/>
        </w:rPr>
        <w:t>Graves’</w:t>
      </w:r>
      <w:r w:rsidR="002C4B1E">
        <w:rPr>
          <w:rFonts w:ascii="Times New Roman" w:hAnsi="Times New Roman" w:cs="Times New Roman"/>
          <w:sz w:val="24"/>
          <w:szCs w:val="24"/>
        </w:rPr>
        <w:t xml:space="preserve"> disease </w:t>
      </w:r>
      <w:r w:rsidR="00B7312F">
        <w:rPr>
          <w:rFonts w:ascii="Times New Roman" w:hAnsi="Times New Roman" w:cs="Times New Roman"/>
          <w:sz w:val="24"/>
          <w:szCs w:val="24"/>
        </w:rPr>
        <w:t xml:space="preserve">one month prior and radioactive iodine treatment two days before her admission.  </w:t>
      </w:r>
      <w:r w:rsidR="00C91F21">
        <w:rPr>
          <w:rFonts w:ascii="Times New Roman" w:hAnsi="Times New Roman" w:cs="Times New Roman"/>
          <w:sz w:val="24"/>
          <w:szCs w:val="24"/>
        </w:rPr>
        <w:t>Her outpatient labs of a low thyroid stimulating hormone (TSH) at .004</w:t>
      </w:r>
      <w:r w:rsidR="007815E9">
        <w:rPr>
          <w:rFonts w:ascii="Times New Roman" w:hAnsi="Times New Roman" w:cs="Times New Roman"/>
          <w:sz w:val="24"/>
          <w:szCs w:val="24"/>
        </w:rPr>
        <w:t>,</w:t>
      </w:r>
      <w:r w:rsidR="00E26114">
        <w:rPr>
          <w:rFonts w:ascii="Times New Roman" w:hAnsi="Times New Roman" w:cs="Times New Roman"/>
          <w:sz w:val="24"/>
          <w:szCs w:val="24"/>
        </w:rPr>
        <w:t xml:space="preserve"> high </w:t>
      </w:r>
      <w:r w:rsidR="00E26114" w:rsidRPr="00E26114">
        <w:rPr>
          <w:rFonts w:ascii="Times New Roman" w:hAnsi="Times New Roman" w:cs="Times New Roman"/>
          <w:sz w:val="24"/>
          <w:szCs w:val="24"/>
          <w:lang w:val="en"/>
        </w:rPr>
        <w:t>thyroxine</w:t>
      </w:r>
      <w:r w:rsidR="00E26114">
        <w:rPr>
          <w:rFonts w:ascii="Times New Roman" w:hAnsi="Times New Roman" w:cs="Times New Roman"/>
          <w:sz w:val="24"/>
          <w:szCs w:val="24"/>
          <w:lang w:val="en"/>
        </w:rPr>
        <w:t xml:space="preserve"> (T4) of 45.2 </w:t>
      </w:r>
      <w:r w:rsidR="0005073B">
        <w:rPr>
          <w:rFonts w:ascii="Times New Roman" w:hAnsi="Times New Roman" w:cs="Times New Roman"/>
          <w:sz w:val="24"/>
          <w:szCs w:val="24"/>
          <w:lang w:val="en"/>
        </w:rPr>
        <w:t>ng</w:t>
      </w:r>
      <w:r w:rsidR="00E26114">
        <w:rPr>
          <w:rFonts w:ascii="Times New Roman" w:hAnsi="Times New Roman" w:cs="Times New Roman"/>
          <w:sz w:val="24"/>
          <w:szCs w:val="24"/>
          <w:lang w:val="en"/>
        </w:rPr>
        <w:t xml:space="preserve">/dL, and </w:t>
      </w:r>
      <w:r w:rsidR="00E26114" w:rsidRPr="00E26114">
        <w:rPr>
          <w:rFonts w:ascii="Times New Roman" w:hAnsi="Times New Roman" w:cs="Times New Roman"/>
          <w:sz w:val="24"/>
          <w:szCs w:val="24"/>
          <w:lang w:val="en"/>
        </w:rPr>
        <w:t>Triiodothyronine</w:t>
      </w:r>
      <w:r w:rsidR="00E26114">
        <w:rPr>
          <w:rFonts w:ascii="Times New Roman" w:hAnsi="Times New Roman" w:cs="Times New Roman"/>
          <w:sz w:val="24"/>
          <w:szCs w:val="24"/>
          <w:lang w:val="en"/>
        </w:rPr>
        <w:t xml:space="preserve"> of 453 ng/dL show her to be hyperthyroid.  The exposure to radioactive iodine </w:t>
      </w:r>
      <w:r w:rsidR="00051224">
        <w:rPr>
          <w:rFonts w:ascii="Times New Roman" w:hAnsi="Times New Roman" w:cs="Times New Roman"/>
          <w:sz w:val="24"/>
          <w:szCs w:val="24"/>
          <w:lang w:val="en"/>
        </w:rPr>
        <w:t>increases the risk of her being in thyroid storm.  As the destruction of the thyroid gland occ</w:t>
      </w:r>
      <w:r w:rsidR="001E5A64">
        <w:rPr>
          <w:rFonts w:ascii="Times New Roman" w:hAnsi="Times New Roman" w:cs="Times New Roman"/>
          <w:sz w:val="24"/>
          <w:szCs w:val="24"/>
          <w:lang w:val="en"/>
        </w:rPr>
        <w:t>urs by the radioactive iodine, it</w:t>
      </w:r>
      <w:r w:rsidR="00051224">
        <w:rPr>
          <w:rFonts w:ascii="Times New Roman" w:hAnsi="Times New Roman" w:cs="Times New Roman"/>
          <w:sz w:val="24"/>
          <w:szCs w:val="24"/>
          <w:lang w:val="en"/>
        </w:rPr>
        <w:t xml:space="preserve"> can potential</w:t>
      </w:r>
      <w:r w:rsidR="001E5A64">
        <w:rPr>
          <w:rFonts w:ascii="Times New Roman" w:hAnsi="Times New Roman" w:cs="Times New Roman"/>
          <w:sz w:val="24"/>
          <w:szCs w:val="24"/>
          <w:lang w:val="en"/>
        </w:rPr>
        <w:t>ly</w:t>
      </w:r>
      <w:r w:rsidR="00051224">
        <w:rPr>
          <w:rFonts w:ascii="Times New Roman" w:hAnsi="Times New Roman" w:cs="Times New Roman"/>
          <w:sz w:val="24"/>
          <w:szCs w:val="24"/>
          <w:lang w:val="en"/>
        </w:rPr>
        <w:t xml:space="preserve"> </w:t>
      </w:r>
      <w:r w:rsidR="001E5A64">
        <w:rPr>
          <w:rFonts w:ascii="Times New Roman" w:hAnsi="Times New Roman" w:cs="Times New Roman"/>
          <w:sz w:val="24"/>
          <w:szCs w:val="24"/>
          <w:lang w:val="en"/>
        </w:rPr>
        <w:t xml:space="preserve">cause </w:t>
      </w:r>
      <w:r w:rsidR="00051224">
        <w:rPr>
          <w:rFonts w:ascii="Times New Roman" w:hAnsi="Times New Roman" w:cs="Times New Roman"/>
          <w:sz w:val="24"/>
          <w:szCs w:val="24"/>
          <w:lang w:val="en"/>
        </w:rPr>
        <w:t xml:space="preserve">release </w:t>
      </w:r>
      <w:r w:rsidR="001E5A64">
        <w:rPr>
          <w:rFonts w:ascii="Times New Roman" w:hAnsi="Times New Roman" w:cs="Times New Roman"/>
          <w:sz w:val="24"/>
          <w:szCs w:val="24"/>
          <w:lang w:val="en"/>
        </w:rPr>
        <w:t xml:space="preserve">of </w:t>
      </w:r>
      <w:r w:rsidR="00051224">
        <w:rPr>
          <w:rFonts w:ascii="Times New Roman" w:hAnsi="Times New Roman" w:cs="Times New Roman"/>
          <w:sz w:val="24"/>
          <w:szCs w:val="24"/>
          <w:lang w:val="en"/>
        </w:rPr>
        <w:t xml:space="preserve">large amounts of the T3 and T4 leading to thyroid storm.  Radioactive </w:t>
      </w:r>
      <w:r w:rsidR="00FB42AA">
        <w:rPr>
          <w:rFonts w:ascii="Times New Roman" w:hAnsi="Times New Roman" w:cs="Times New Roman"/>
          <w:sz w:val="24"/>
          <w:szCs w:val="24"/>
          <w:lang w:val="en"/>
        </w:rPr>
        <w:t xml:space="preserve">iodine is listed as a cause of drug related thyrotoxicosis in the guidelines set by the American Thyroid Association and the American Association of Clinical Endocrinologist (Bahn et al., 2011).  </w:t>
      </w:r>
      <w:r w:rsidR="00A33D22">
        <w:rPr>
          <w:rFonts w:ascii="Times New Roman" w:hAnsi="Times New Roman" w:cs="Times New Roman"/>
          <w:sz w:val="24"/>
          <w:szCs w:val="24"/>
          <w:lang w:val="en"/>
        </w:rPr>
        <w:t xml:space="preserve">Burch and Wartofsky (1993) published a diagnostic clinical tool to assist practitioners with the diagnosis of thyroid storm.  This tool </w:t>
      </w:r>
      <w:r w:rsidR="000A081B">
        <w:rPr>
          <w:rFonts w:ascii="Times New Roman" w:hAnsi="Times New Roman" w:cs="Times New Roman"/>
          <w:sz w:val="24"/>
          <w:szCs w:val="24"/>
          <w:lang w:val="en"/>
        </w:rPr>
        <w:t xml:space="preserve">is a scoring system that gives points for signs and symptoms related to thyroid storm, using that score gives the likelihood of the patient to be in thyroid storm </w:t>
      </w:r>
      <w:r w:rsidR="00AF6DBC" w:rsidRPr="00AF6DBC">
        <w:rPr>
          <w:rFonts w:ascii="Times New Roman" w:hAnsi="Times New Roman" w:cs="Times New Roman"/>
          <w:sz w:val="24"/>
          <w:szCs w:val="24"/>
          <w:lang w:val="en"/>
        </w:rPr>
        <w:t>(see table 1)</w:t>
      </w:r>
      <w:r w:rsidR="000A081B" w:rsidRPr="00AF6DBC">
        <w:rPr>
          <w:rFonts w:ascii="Times New Roman" w:hAnsi="Times New Roman" w:cs="Times New Roman"/>
          <w:sz w:val="24"/>
          <w:szCs w:val="24"/>
          <w:lang w:val="en"/>
        </w:rPr>
        <w:t>.</w:t>
      </w:r>
      <w:r w:rsidR="000A081B">
        <w:rPr>
          <w:rFonts w:ascii="Times New Roman" w:hAnsi="Times New Roman" w:cs="Times New Roman"/>
          <w:sz w:val="24"/>
          <w:szCs w:val="24"/>
          <w:lang w:val="en"/>
        </w:rPr>
        <w:t xml:space="preserve">  This diagnostic tool will be discussed in greater depth later in this paper.  Given the limited data in this case</w:t>
      </w:r>
      <w:r w:rsidR="00D37BFE">
        <w:rPr>
          <w:rFonts w:ascii="Times New Roman" w:hAnsi="Times New Roman" w:cs="Times New Roman"/>
          <w:sz w:val="24"/>
          <w:szCs w:val="24"/>
          <w:lang w:val="en"/>
        </w:rPr>
        <w:t>,</w:t>
      </w:r>
      <w:r w:rsidR="000A081B">
        <w:rPr>
          <w:rFonts w:ascii="Times New Roman" w:hAnsi="Times New Roman" w:cs="Times New Roman"/>
          <w:sz w:val="24"/>
          <w:szCs w:val="24"/>
          <w:lang w:val="en"/>
        </w:rPr>
        <w:t xml:space="preserve"> </w:t>
      </w:r>
      <w:r w:rsidR="00312E9F">
        <w:rPr>
          <w:rFonts w:ascii="Times New Roman" w:hAnsi="Times New Roman" w:cs="Times New Roman"/>
          <w:sz w:val="24"/>
          <w:szCs w:val="24"/>
          <w:lang w:val="en"/>
        </w:rPr>
        <w:t>th</w:t>
      </w:r>
      <w:r w:rsidR="007815E9">
        <w:rPr>
          <w:rFonts w:ascii="Times New Roman" w:hAnsi="Times New Roman" w:cs="Times New Roman"/>
          <w:sz w:val="24"/>
          <w:szCs w:val="24"/>
          <w:lang w:val="en"/>
        </w:rPr>
        <w:t>e patient’s high fever, nausea,</w:t>
      </w:r>
      <w:r w:rsidR="00312E9F">
        <w:rPr>
          <w:rFonts w:ascii="Times New Roman" w:hAnsi="Times New Roman" w:cs="Times New Roman"/>
          <w:sz w:val="24"/>
          <w:szCs w:val="24"/>
          <w:lang w:val="en"/>
        </w:rPr>
        <w:t xml:space="preserve"> vomiting, and having a precipitating event gives </w:t>
      </w:r>
      <w:r w:rsidR="000A081B">
        <w:rPr>
          <w:rFonts w:ascii="Times New Roman" w:hAnsi="Times New Roman" w:cs="Times New Roman"/>
          <w:sz w:val="24"/>
          <w:szCs w:val="24"/>
          <w:lang w:val="en"/>
        </w:rPr>
        <w:t xml:space="preserve">the patient </w:t>
      </w:r>
      <w:r w:rsidR="00312E9F">
        <w:rPr>
          <w:rFonts w:ascii="Times New Roman" w:hAnsi="Times New Roman" w:cs="Times New Roman"/>
          <w:sz w:val="24"/>
          <w:szCs w:val="24"/>
          <w:lang w:val="en"/>
        </w:rPr>
        <w:t xml:space="preserve">a </w:t>
      </w:r>
      <w:r w:rsidR="000A081B">
        <w:rPr>
          <w:rFonts w:ascii="Times New Roman" w:hAnsi="Times New Roman" w:cs="Times New Roman"/>
          <w:sz w:val="24"/>
          <w:szCs w:val="24"/>
          <w:lang w:val="en"/>
        </w:rPr>
        <w:t xml:space="preserve">score </w:t>
      </w:r>
      <w:r w:rsidR="00C91121">
        <w:rPr>
          <w:rFonts w:ascii="Times New Roman" w:hAnsi="Times New Roman" w:cs="Times New Roman"/>
          <w:sz w:val="24"/>
          <w:szCs w:val="24"/>
          <w:lang w:val="en"/>
        </w:rPr>
        <w:t>40 points.  O</w:t>
      </w:r>
      <w:r w:rsidR="00312E9F">
        <w:rPr>
          <w:rFonts w:ascii="Times New Roman" w:hAnsi="Times New Roman" w:cs="Times New Roman"/>
          <w:sz w:val="24"/>
          <w:szCs w:val="24"/>
          <w:lang w:val="en"/>
        </w:rPr>
        <w:t>n</w:t>
      </w:r>
      <w:r w:rsidR="00D37BFE">
        <w:rPr>
          <w:rFonts w:ascii="Times New Roman" w:hAnsi="Times New Roman" w:cs="Times New Roman"/>
          <w:sz w:val="24"/>
          <w:szCs w:val="24"/>
          <w:lang w:val="en"/>
        </w:rPr>
        <w:t xml:space="preserve"> this diagnostic tool </w:t>
      </w:r>
      <w:r w:rsidR="00312E9F">
        <w:rPr>
          <w:rFonts w:ascii="Times New Roman" w:hAnsi="Times New Roman" w:cs="Times New Roman"/>
          <w:sz w:val="24"/>
          <w:szCs w:val="24"/>
          <w:lang w:val="en"/>
        </w:rPr>
        <w:t xml:space="preserve">that is </w:t>
      </w:r>
      <w:r w:rsidR="00D37BFE">
        <w:rPr>
          <w:rFonts w:ascii="Times New Roman" w:hAnsi="Times New Roman" w:cs="Times New Roman"/>
          <w:sz w:val="24"/>
          <w:szCs w:val="24"/>
          <w:lang w:val="en"/>
        </w:rPr>
        <w:t xml:space="preserve">high enough to be suggestive of </w:t>
      </w:r>
      <w:r w:rsidR="00D37BFE">
        <w:rPr>
          <w:rFonts w:ascii="Times New Roman" w:hAnsi="Times New Roman" w:cs="Times New Roman"/>
          <w:sz w:val="24"/>
          <w:szCs w:val="24"/>
          <w:lang w:val="en"/>
        </w:rPr>
        <w:lastRenderedPageBreak/>
        <w:t xml:space="preserve">impending thyroid storm.  </w:t>
      </w:r>
      <w:r w:rsidR="00312E9F">
        <w:rPr>
          <w:rFonts w:ascii="Times New Roman" w:hAnsi="Times New Roman" w:cs="Times New Roman"/>
          <w:sz w:val="24"/>
          <w:szCs w:val="24"/>
          <w:lang w:val="en"/>
        </w:rPr>
        <w:t>With more information, including the rest of her vital signs</w:t>
      </w:r>
      <w:r w:rsidR="00C91121">
        <w:rPr>
          <w:rFonts w:ascii="Times New Roman" w:hAnsi="Times New Roman" w:cs="Times New Roman"/>
          <w:sz w:val="24"/>
          <w:szCs w:val="24"/>
          <w:lang w:val="en"/>
        </w:rPr>
        <w:t>,</w:t>
      </w:r>
      <w:r w:rsidR="00312E9F">
        <w:rPr>
          <w:rFonts w:ascii="Times New Roman" w:hAnsi="Times New Roman" w:cs="Times New Roman"/>
          <w:sz w:val="24"/>
          <w:szCs w:val="24"/>
          <w:lang w:val="en"/>
        </w:rPr>
        <w:t xml:space="preserve"> it is likely that her score could be higher and would highly suggest her being in thyroid storm.  </w:t>
      </w:r>
      <w:r w:rsidR="00D37BFE">
        <w:rPr>
          <w:rFonts w:ascii="Times New Roman" w:hAnsi="Times New Roman" w:cs="Times New Roman"/>
          <w:sz w:val="24"/>
          <w:szCs w:val="24"/>
          <w:lang w:val="en"/>
        </w:rPr>
        <w:t>Thyroid storm is a clinical diagnosis and the highest degree of thyrotoxicosis</w:t>
      </w:r>
      <w:r w:rsidR="00C91121">
        <w:rPr>
          <w:rFonts w:ascii="Times New Roman" w:hAnsi="Times New Roman" w:cs="Times New Roman"/>
          <w:sz w:val="24"/>
          <w:szCs w:val="24"/>
          <w:lang w:val="en"/>
        </w:rPr>
        <w:t>, it is</w:t>
      </w:r>
      <w:r w:rsidR="00D37BFE">
        <w:rPr>
          <w:rFonts w:ascii="Times New Roman" w:hAnsi="Times New Roman" w:cs="Times New Roman"/>
          <w:sz w:val="24"/>
          <w:szCs w:val="24"/>
          <w:lang w:val="en"/>
        </w:rPr>
        <w:t xml:space="preserve"> associated with a mortality rate of about 20 to 30% and needs to be recognized early and appropriately managed </w:t>
      </w:r>
      <w:r w:rsidR="00312E9F">
        <w:rPr>
          <w:rFonts w:ascii="Times New Roman" w:hAnsi="Times New Roman" w:cs="Times New Roman"/>
          <w:sz w:val="24"/>
          <w:szCs w:val="24"/>
          <w:lang w:val="en"/>
        </w:rPr>
        <w:t>to have the most optimal outcome (Nayak &amp; Burman, 2006).</w:t>
      </w:r>
      <w:r w:rsidR="00D37BFE">
        <w:rPr>
          <w:rFonts w:ascii="Times New Roman" w:hAnsi="Times New Roman" w:cs="Times New Roman"/>
          <w:sz w:val="24"/>
          <w:szCs w:val="24"/>
          <w:lang w:val="en"/>
        </w:rPr>
        <w:t xml:space="preserve">  </w:t>
      </w:r>
    </w:p>
    <w:p w:rsidR="00C91121" w:rsidRDefault="00C91121" w:rsidP="00650FE5">
      <w:pPr>
        <w:spacing w:line="480" w:lineRule="auto"/>
        <w:contextualSpacing/>
        <w:rPr>
          <w:rFonts w:ascii="Times New Roman" w:hAnsi="Times New Roman" w:cs="Times New Roman"/>
          <w:sz w:val="24"/>
          <w:szCs w:val="24"/>
        </w:rPr>
      </w:pPr>
      <w:r>
        <w:rPr>
          <w:rFonts w:ascii="Times New Roman" w:hAnsi="Times New Roman" w:cs="Times New Roman"/>
          <w:sz w:val="24"/>
          <w:szCs w:val="24"/>
          <w:lang w:val="en"/>
        </w:rPr>
        <w:tab/>
        <w:t xml:space="preserve">This patient has a history of difficult to control migraines.  Her description of </w:t>
      </w:r>
      <w:r w:rsidR="00083839">
        <w:rPr>
          <w:rFonts w:ascii="Times New Roman" w:hAnsi="Times New Roman" w:cs="Times New Roman"/>
          <w:sz w:val="24"/>
          <w:szCs w:val="24"/>
          <w:lang w:val="en"/>
        </w:rPr>
        <w:t>a hammering</w:t>
      </w:r>
      <w:r>
        <w:rPr>
          <w:rFonts w:ascii="Times New Roman" w:hAnsi="Times New Roman" w:cs="Times New Roman"/>
          <w:sz w:val="24"/>
          <w:szCs w:val="24"/>
          <w:lang w:val="en"/>
        </w:rPr>
        <w:t xml:space="preserve"> headache and her </w:t>
      </w:r>
      <w:r w:rsidR="00083839">
        <w:rPr>
          <w:rFonts w:ascii="Times New Roman" w:hAnsi="Times New Roman" w:cs="Times New Roman"/>
          <w:sz w:val="24"/>
          <w:szCs w:val="24"/>
          <w:lang w:val="en"/>
        </w:rPr>
        <w:t>symptoms</w:t>
      </w:r>
      <w:r>
        <w:rPr>
          <w:rFonts w:ascii="Times New Roman" w:hAnsi="Times New Roman" w:cs="Times New Roman"/>
          <w:sz w:val="24"/>
          <w:szCs w:val="24"/>
          <w:lang w:val="en"/>
        </w:rPr>
        <w:t xml:space="preserve"> of nausea and vomiting with </w:t>
      </w:r>
      <w:r w:rsidR="00083839">
        <w:rPr>
          <w:rFonts w:ascii="Times New Roman" w:hAnsi="Times New Roman" w:cs="Times New Roman"/>
          <w:sz w:val="24"/>
          <w:szCs w:val="24"/>
          <w:lang w:val="en"/>
        </w:rPr>
        <w:t xml:space="preserve">worsening photophobia are classic signs of a migraine headache </w:t>
      </w:r>
      <w:r w:rsidR="00083839">
        <w:rPr>
          <w:rFonts w:ascii="Times New Roman" w:hAnsi="Times New Roman" w:cs="Times New Roman"/>
          <w:sz w:val="24"/>
          <w:szCs w:val="24"/>
        </w:rPr>
        <w:t xml:space="preserve">(McPhee &amp; Papadakis, 2011).  </w:t>
      </w:r>
      <w:r w:rsidR="00152108">
        <w:rPr>
          <w:rFonts w:ascii="Times New Roman" w:hAnsi="Times New Roman" w:cs="Times New Roman"/>
          <w:sz w:val="24"/>
          <w:szCs w:val="24"/>
        </w:rPr>
        <w:t xml:space="preserve">It is important to note that the diagnosis of </w:t>
      </w:r>
      <w:r w:rsidR="007815E9">
        <w:rPr>
          <w:rFonts w:ascii="Times New Roman" w:hAnsi="Times New Roman" w:cs="Times New Roman"/>
          <w:sz w:val="24"/>
          <w:szCs w:val="24"/>
        </w:rPr>
        <w:t xml:space="preserve">a </w:t>
      </w:r>
      <w:r w:rsidR="00152108">
        <w:rPr>
          <w:rFonts w:ascii="Times New Roman" w:hAnsi="Times New Roman" w:cs="Times New Roman"/>
          <w:sz w:val="24"/>
          <w:szCs w:val="24"/>
        </w:rPr>
        <w:t xml:space="preserve">migraine is likely secondary </w:t>
      </w:r>
      <w:r w:rsidR="00B31B16">
        <w:rPr>
          <w:rFonts w:ascii="Times New Roman" w:hAnsi="Times New Roman" w:cs="Times New Roman"/>
          <w:sz w:val="24"/>
          <w:szCs w:val="24"/>
        </w:rPr>
        <w:t>to other pathology the</w:t>
      </w:r>
      <w:r w:rsidR="00022783">
        <w:rPr>
          <w:rFonts w:ascii="Times New Roman" w:hAnsi="Times New Roman" w:cs="Times New Roman"/>
          <w:sz w:val="24"/>
          <w:szCs w:val="24"/>
        </w:rPr>
        <w:t xml:space="preserve"> patient is experiencing.  </w:t>
      </w:r>
      <w:r w:rsidR="00B31B16">
        <w:rPr>
          <w:rFonts w:ascii="Times New Roman" w:hAnsi="Times New Roman" w:cs="Times New Roman"/>
          <w:sz w:val="24"/>
          <w:szCs w:val="24"/>
        </w:rPr>
        <w:t xml:space="preserve">The stress and treatment as well as other factors very well may have triggered a migraine for this patient.  The diagnostic criteria for a migraine is having two of the following features; unilateral pain, throbbing pain, aggravated by movement, or moderate to severe in intensity.  Plus having at least one of these following features; nausea and </w:t>
      </w:r>
      <w:r w:rsidR="009B6D66">
        <w:rPr>
          <w:rFonts w:ascii="Times New Roman" w:hAnsi="Times New Roman" w:cs="Times New Roman"/>
          <w:sz w:val="24"/>
          <w:szCs w:val="24"/>
        </w:rPr>
        <w:t xml:space="preserve">vomiting, photophobia, or phonophobia (Longo et al., 2012). </w:t>
      </w:r>
      <w:r w:rsidR="00B31B16">
        <w:rPr>
          <w:rFonts w:ascii="Times New Roman" w:hAnsi="Times New Roman" w:cs="Times New Roman"/>
          <w:sz w:val="24"/>
          <w:szCs w:val="24"/>
        </w:rPr>
        <w:t xml:space="preserve"> </w:t>
      </w:r>
      <w:r w:rsidR="009B6D66">
        <w:rPr>
          <w:rFonts w:ascii="Times New Roman" w:hAnsi="Times New Roman" w:cs="Times New Roman"/>
          <w:sz w:val="24"/>
          <w:szCs w:val="24"/>
        </w:rPr>
        <w:t>The patient meets criteria for a migraine given her description of the headache, its severity, and having the nausea, vomiting, and photophobia.</w:t>
      </w:r>
    </w:p>
    <w:p w:rsidR="009B6D66" w:rsidRDefault="009B6D66" w:rsidP="00650FE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There is more of a concern with the patient having this severe of a headache with a fever and her stating that it is radiating into her neck.  The next differential diagnosis based on these findings is meningitis.  </w:t>
      </w:r>
      <w:r w:rsidR="00CF6F72">
        <w:rPr>
          <w:rFonts w:ascii="Times New Roman" w:hAnsi="Times New Roman" w:cs="Times New Roman"/>
          <w:sz w:val="24"/>
          <w:szCs w:val="24"/>
        </w:rPr>
        <w:t>The triad of classic clinical features is fever, headache, and nuchal rigidity.  Other common signs that are also associated with meningitis are nausea, vomiting, photophobia, and greater than 75% of patients have some form of decreased level of consciousness from lethargy to coma (Longo et al., 2012).</w:t>
      </w:r>
      <w:r w:rsidR="00F112CA">
        <w:rPr>
          <w:rFonts w:ascii="Times New Roman" w:hAnsi="Times New Roman" w:cs="Times New Roman"/>
          <w:sz w:val="24"/>
          <w:szCs w:val="24"/>
        </w:rPr>
        <w:t xml:space="preserve">  Kernig and </w:t>
      </w:r>
      <w:r w:rsidR="0005073B">
        <w:rPr>
          <w:rFonts w:ascii="Times New Roman" w:hAnsi="Times New Roman" w:cs="Times New Roman"/>
          <w:sz w:val="24"/>
          <w:szCs w:val="24"/>
        </w:rPr>
        <w:t>Brudzinski</w:t>
      </w:r>
      <w:r w:rsidR="00F112CA">
        <w:rPr>
          <w:rFonts w:ascii="Times New Roman" w:hAnsi="Times New Roman" w:cs="Times New Roman"/>
          <w:sz w:val="24"/>
          <w:szCs w:val="24"/>
        </w:rPr>
        <w:t xml:space="preserve"> sign</w:t>
      </w:r>
      <w:r w:rsidR="0005168F">
        <w:rPr>
          <w:rFonts w:ascii="Times New Roman" w:hAnsi="Times New Roman" w:cs="Times New Roman"/>
          <w:sz w:val="24"/>
          <w:szCs w:val="24"/>
        </w:rPr>
        <w:t>s</w:t>
      </w:r>
      <w:r w:rsidR="00F112CA">
        <w:rPr>
          <w:rFonts w:ascii="Times New Roman" w:hAnsi="Times New Roman" w:cs="Times New Roman"/>
          <w:sz w:val="24"/>
          <w:szCs w:val="24"/>
        </w:rPr>
        <w:t xml:space="preserve"> may also be present and helpful</w:t>
      </w:r>
      <w:r w:rsidR="0005168F">
        <w:rPr>
          <w:rFonts w:ascii="Times New Roman" w:hAnsi="Times New Roman" w:cs="Times New Roman"/>
          <w:sz w:val="24"/>
          <w:szCs w:val="24"/>
        </w:rPr>
        <w:t xml:space="preserve"> in the evaluation </w:t>
      </w:r>
      <w:r w:rsidR="00F112CA">
        <w:rPr>
          <w:rFonts w:ascii="Times New Roman" w:hAnsi="Times New Roman" w:cs="Times New Roman"/>
          <w:sz w:val="24"/>
          <w:szCs w:val="24"/>
        </w:rPr>
        <w:t xml:space="preserve">of meningitis.  </w:t>
      </w:r>
      <w:r w:rsidR="00AF1E35">
        <w:rPr>
          <w:rFonts w:ascii="Times New Roman" w:hAnsi="Times New Roman" w:cs="Times New Roman"/>
          <w:sz w:val="24"/>
          <w:szCs w:val="24"/>
        </w:rPr>
        <w:t xml:space="preserve">The triad of classic symptoms only </w:t>
      </w:r>
      <w:r w:rsidR="0090737B">
        <w:rPr>
          <w:rFonts w:ascii="Times New Roman" w:hAnsi="Times New Roman" w:cs="Times New Roman"/>
          <w:sz w:val="24"/>
          <w:szCs w:val="24"/>
        </w:rPr>
        <w:t xml:space="preserve">has </w:t>
      </w:r>
      <w:r w:rsidR="007815E9">
        <w:rPr>
          <w:rFonts w:ascii="Times New Roman" w:hAnsi="Times New Roman" w:cs="Times New Roman"/>
          <w:sz w:val="24"/>
          <w:szCs w:val="24"/>
        </w:rPr>
        <w:t>a 44</w:t>
      </w:r>
      <w:r w:rsidR="00AF1E35">
        <w:rPr>
          <w:rFonts w:ascii="Times New Roman" w:hAnsi="Times New Roman" w:cs="Times New Roman"/>
          <w:sz w:val="24"/>
          <w:szCs w:val="24"/>
        </w:rPr>
        <w:t>% sensitivity</w:t>
      </w:r>
      <w:r w:rsidR="0090737B">
        <w:rPr>
          <w:rFonts w:ascii="Times New Roman" w:hAnsi="Times New Roman" w:cs="Times New Roman"/>
          <w:sz w:val="24"/>
          <w:szCs w:val="24"/>
        </w:rPr>
        <w:t>,</w:t>
      </w:r>
      <w:r w:rsidR="00AF1E35">
        <w:rPr>
          <w:rFonts w:ascii="Times New Roman" w:hAnsi="Times New Roman" w:cs="Times New Roman"/>
          <w:sz w:val="24"/>
          <w:szCs w:val="24"/>
        </w:rPr>
        <w:t xml:space="preserve"> </w:t>
      </w:r>
      <w:r w:rsidR="007815E9">
        <w:rPr>
          <w:rFonts w:ascii="Times New Roman" w:hAnsi="Times New Roman" w:cs="Times New Roman"/>
          <w:sz w:val="24"/>
          <w:szCs w:val="24"/>
        </w:rPr>
        <w:t>most</w:t>
      </w:r>
      <w:r w:rsidR="00AF1E35">
        <w:rPr>
          <w:rFonts w:ascii="Times New Roman" w:hAnsi="Times New Roman" w:cs="Times New Roman"/>
          <w:sz w:val="24"/>
          <w:szCs w:val="24"/>
        </w:rPr>
        <w:t xml:space="preserve"> patient</w:t>
      </w:r>
      <w:r w:rsidR="007815E9">
        <w:rPr>
          <w:rFonts w:ascii="Times New Roman" w:hAnsi="Times New Roman" w:cs="Times New Roman"/>
          <w:sz w:val="24"/>
          <w:szCs w:val="24"/>
        </w:rPr>
        <w:t>s</w:t>
      </w:r>
      <w:r w:rsidR="00AF1E35">
        <w:rPr>
          <w:rFonts w:ascii="Times New Roman" w:hAnsi="Times New Roman" w:cs="Times New Roman"/>
          <w:sz w:val="24"/>
          <w:szCs w:val="24"/>
        </w:rPr>
        <w:t xml:space="preserve"> with bacterial meningitis will have two of the following </w:t>
      </w:r>
      <w:r w:rsidR="007815E9">
        <w:rPr>
          <w:rFonts w:ascii="Times New Roman" w:hAnsi="Times New Roman" w:cs="Times New Roman"/>
          <w:sz w:val="24"/>
          <w:szCs w:val="24"/>
        </w:rPr>
        <w:lastRenderedPageBreak/>
        <w:t>symptoms</w:t>
      </w:r>
      <w:r w:rsidR="00AF1E35">
        <w:rPr>
          <w:rFonts w:ascii="Times New Roman" w:hAnsi="Times New Roman" w:cs="Times New Roman"/>
          <w:sz w:val="24"/>
          <w:szCs w:val="24"/>
        </w:rPr>
        <w:t>; headache, stiff nec</w:t>
      </w:r>
      <w:r w:rsidR="000C47A2">
        <w:rPr>
          <w:rFonts w:ascii="Times New Roman" w:hAnsi="Times New Roman" w:cs="Times New Roman"/>
          <w:sz w:val="24"/>
          <w:szCs w:val="24"/>
        </w:rPr>
        <w:t>k or back, fever, or decrease in</w:t>
      </w:r>
      <w:r w:rsidR="00AF1E35">
        <w:rPr>
          <w:rFonts w:ascii="Times New Roman" w:hAnsi="Times New Roman" w:cs="Times New Roman"/>
          <w:sz w:val="24"/>
          <w:szCs w:val="24"/>
        </w:rPr>
        <w:t xml:space="preserve"> their level of consciousness</w:t>
      </w:r>
      <w:r w:rsidR="002B0617">
        <w:rPr>
          <w:rFonts w:ascii="Times New Roman" w:hAnsi="Times New Roman" w:cs="Times New Roman"/>
          <w:sz w:val="24"/>
          <w:szCs w:val="24"/>
        </w:rPr>
        <w:t xml:space="preserve">.  Since the patient has these presenting characteristics, meningitis should be considered.  </w:t>
      </w:r>
      <w:r w:rsidR="0090737B">
        <w:rPr>
          <w:rFonts w:ascii="Times New Roman" w:hAnsi="Times New Roman" w:cs="Times New Roman"/>
          <w:sz w:val="24"/>
          <w:szCs w:val="24"/>
        </w:rPr>
        <w:t xml:space="preserve">To evaluate the patient for possible meningitis </w:t>
      </w:r>
      <w:r w:rsidR="00965BF6">
        <w:rPr>
          <w:rFonts w:ascii="Times New Roman" w:hAnsi="Times New Roman" w:cs="Times New Roman"/>
          <w:sz w:val="24"/>
          <w:szCs w:val="24"/>
        </w:rPr>
        <w:t xml:space="preserve">the work up should include blood </w:t>
      </w:r>
      <w:r w:rsidR="002B0617">
        <w:rPr>
          <w:rFonts w:ascii="Times New Roman" w:hAnsi="Times New Roman" w:cs="Times New Roman"/>
          <w:sz w:val="24"/>
          <w:szCs w:val="24"/>
        </w:rPr>
        <w:t>counts,</w:t>
      </w:r>
      <w:r w:rsidR="00965BF6">
        <w:rPr>
          <w:rFonts w:ascii="Times New Roman" w:hAnsi="Times New Roman" w:cs="Times New Roman"/>
          <w:sz w:val="24"/>
          <w:szCs w:val="24"/>
        </w:rPr>
        <w:t xml:space="preserve"> blood culture, cerebral spinal fluid test, and chest x-ray.  A </w:t>
      </w:r>
      <w:r w:rsidR="00965BF6" w:rsidRPr="00965BF6">
        <w:rPr>
          <w:rFonts w:ascii="Times New Roman" w:hAnsi="Times New Roman" w:cs="Times New Roman"/>
          <w:color w:val="000000"/>
          <w:sz w:val="24"/>
          <w:szCs w:val="24"/>
          <w:lang w:val="en"/>
        </w:rPr>
        <w:t xml:space="preserve">computed tomography (CT) </w:t>
      </w:r>
      <w:r w:rsidR="002B0617">
        <w:rPr>
          <w:rFonts w:ascii="Times New Roman" w:hAnsi="Times New Roman" w:cs="Times New Roman"/>
          <w:color w:val="000000"/>
          <w:sz w:val="24"/>
          <w:szCs w:val="24"/>
          <w:lang w:val="en"/>
        </w:rPr>
        <w:t>scan</w:t>
      </w:r>
      <w:r w:rsidR="00965BF6" w:rsidRPr="00965BF6">
        <w:rPr>
          <w:rFonts w:ascii="Times New Roman" w:hAnsi="Times New Roman" w:cs="Times New Roman"/>
          <w:sz w:val="24"/>
          <w:szCs w:val="24"/>
        </w:rPr>
        <w:t xml:space="preserve"> </w:t>
      </w:r>
      <w:r w:rsidR="00965BF6">
        <w:rPr>
          <w:rFonts w:ascii="Times New Roman" w:hAnsi="Times New Roman" w:cs="Times New Roman"/>
          <w:sz w:val="24"/>
          <w:szCs w:val="24"/>
        </w:rPr>
        <w:t xml:space="preserve">should be performed prior to a lumbar puncture </w:t>
      </w:r>
      <w:r w:rsidR="002B0617">
        <w:rPr>
          <w:rFonts w:ascii="Times New Roman" w:hAnsi="Times New Roman" w:cs="Times New Roman"/>
          <w:sz w:val="24"/>
          <w:szCs w:val="24"/>
        </w:rPr>
        <w:t xml:space="preserve">if the patient has papillary edema, had a recent seizure, focal neurologic findings, or any other concerns that there may be a space occupying lesion (McPhee &amp; Papadakis, 2011).  </w:t>
      </w:r>
    </w:p>
    <w:p w:rsidR="002B0617" w:rsidRDefault="002B0617" w:rsidP="00650FE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347A6F">
        <w:rPr>
          <w:rFonts w:ascii="Times New Roman" w:hAnsi="Times New Roman" w:cs="Times New Roman"/>
          <w:sz w:val="24"/>
          <w:szCs w:val="24"/>
        </w:rPr>
        <w:t xml:space="preserve">I think it is important to note in this case study the precautions that need to be taken with this patient having recently been treated with radioactive iodine.  The degree and length </w:t>
      </w:r>
      <w:r w:rsidR="00C4797A">
        <w:rPr>
          <w:rFonts w:ascii="Times New Roman" w:hAnsi="Times New Roman" w:cs="Times New Roman"/>
          <w:sz w:val="24"/>
          <w:szCs w:val="24"/>
        </w:rPr>
        <w:t xml:space="preserve">of time for the required precautions is based on the dose of radioactive material the patient has received.  </w:t>
      </w:r>
      <w:r w:rsidR="00C4797A" w:rsidRPr="00C4797A">
        <w:rPr>
          <w:rFonts w:ascii="Times New Roman" w:hAnsi="Times New Roman" w:cs="Times New Roman"/>
          <w:sz w:val="24"/>
          <w:szCs w:val="24"/>
        </w:rPr>
        <w:t>The American Thyroid Association Taskforce on Radioiodine Safety</w:t>
      </w:r>
      <w:r w:rsidR="00C4797A">
        <w:rPr>
          <w:rFonts w:ascii="Times New Roman" w:hAnsi="Times New Roman" w:cs="Times New Roman"/>
          <w:sz w:val="24"/>
          <w:szCs w:val="24"/>
        </w:rPr>
        <w:t xml:space="preserve"> has published guidelines giving the recommend length of time for these precautions and states that the largest amount of possible exposure to the radioactive material is from the patient’s urine and to a lesser degree their saliva in the first 48 hours </w:t>
      </w:r>
      <w:r w:rsidR="00A42059">
        <w:rPr>
          <w:rFonts w:ascii="Times New Roman" w:hAnsi="Times New Roman" w:cs="Times New Roman"/>
          <w:sz w:val="24"/>
          <w:szCs w:val="24"/>
        </w:rPr>
        <w:t xml:space="preserve">after treatment </w:t>
      </w:r>
      <w:r w:rsidR="00C4797A">
        <w:rPr>
          <w:rFonts w:ascii="Times New Roman" w:hAnsi="Times New Roman" w:cs="Times New Roman"/>
          <w:sz w:val="24"/>
          <w:szCs w:val="24"/>
        </w:rPr>
        <w:t xml:space="preserve">(Sission et al., 2011).    </w:t>
      </w:r>
    </w:p>
    <w:p w:rsidR="00A42059" w:rsidRDefault="00A42059" w:rsidP="00650FE5">
      <w:pPr>
        <w:spacing w:line="480" w:lineRule="auto"/>
        <w:contextualSpacing/>
        <w:rPr>
          <w:rFonts w:ascii="Times New Roman" w:hAnsi="Times New Roman" w:cs="Times New Roman"/>
          <w:b/>
          <w:sz w:val="24"/>
          <w:szCs w:val="24"/>
        </w:rPr>
      </w:pPr>
      <w:r>
        <w:rPr>
          <w:rFonts w:ascii="Times New Roman" w:hAnsi="Times New Roman" w:cs="Times New Roman"/>
          <w:b/>
          <w:sz w:val="24"/>
          <w:szCs w:val="24"/>
        </w:rPr>
        <w:t>2. Which of the following is not considered a diagnostic criterion for thyroid storm?  Provide rational for your answer and why you eliminated the others.</w:t>
      </w:r>
    </w:p>
    <w:p w:rsidR="00A42059" w:rsidRDefault="00A42059" w:rsidP="00A4205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 Nausea and vomiting</w:t>
      </w:r>
    </w:p>
    <w:p w:rsidR="00A42059" w:rsidRDefault="00A42059" w:rsidP="00A4205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B. Tachycardia</w:t>
      </w:r>
    </w:p>
    <w:p w:rsidR="00A42059" w:rsidRDefault="00A42059" w:rsidP="00A42059">
      <w:pPr>
        <w:spacing w:line="240" w:lineRule="auto"/>
        <w:contextualSpacing/>
        <w:rPr>
          <w:rFonts w:ascii="Times New Roman" w:hAnsi="Times New Roman" w:cs="Times New Roman"/>
          <w:b/>
          <w:sz w:val="24"/>
          <w:szCs w:val="24"/>
        </w:rPr>
      </w:pPr>
      <w:r w:rsidRPr="00A42059">
        <w:rPr>
          <w:rFonts w:ascii="Times New Roman" w:hAnsi="Times New Roman" w:cs="Times New Roman"/>
          <w:b/>
          <w:sz w:val="24"/>
          <w:szCs w:val="24"/>
          <w:highlight w:val="yellow"/>
        </w:rPr>
        <w:t>C. Tremor</w:t>
      </w:r>
    </w:p>
    <w:p w:rsidR="00A42059" w:rsidRDefault="00A42059" w:rsidP="00A4205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 Fever</w:t>
      </w:r>
    </w:p>
    <w:p w:rsidR="00A42059" w:rsidRDefault="00A42059" w:rsidP="00A4205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E. Pulmonary edema</w:t>
      </w:r>
    </w:p>
    <w:p w:rsidR="00A42059" w:rsidRDefault="00A42059" w:rsidP="00A42059">
      <w:pPr>
        <w:spacing w:line="240" w:lineRule="auto"/>
        <w:contextualSpacing/>
        <w:rPr>
          <w:rFonts w:ascii="Times New Roman" w:hAnsi="Times New Roman" w:cs="Times New Roman"/>
          <w:b/>
          <w:sz w:val="24"/>
          <w:szCs w:val="24"/>
        </w:rPr>
      </w:pPr>
    </w:p>
    <w:p w:rsidR="003E17E3" w:rsidRDefault="00A42059" w:rsidP="00A42059">
      <w:pPr>
        <w:spacing w:line="480" w:lineRule="auto"/>
        <w:contextualSpacing/>
        <w:rPr>
          <w:rFonts w:ascii="Times New Roman" w:hAnsi="Times New Roman" w:cs="Times New Roman"/>
          <w:sz w:val="24"/>
          <w:szCs w:val="24"/>
          <w:lang w:val="en"/>
        </w:rPr>
      </w:pPr>
      <w:r>
        <w:rPr>
          <w:rFonts w:ascii="Times New Roman" w:hAnsi="Times New Roman" w:cs="Times New Roman"/>
          <w:b/>
          <w:sz w:val="24"/>
          <w:szCs w:val="24"/>
        </w:rPr>
        <w:tab/>
      </w:r>
      <w:r w:rsidR="008D0425">
        <w:rPr>
          <w:rFonts w:ascii="Times New Roman" w:hAnsi="Times New Roman" w:cs="Times New Roman"/>
          <w:sz w:val="24"/>
          <w:szCs w:val="24"/>
        </w:rPr>
        <w:t xml:space="preserve">The diagnosis of thyroid storm is a clinical diagnosis.  A low TSH level and high free T4 and T3 levels are diagnostic of hyperthyroidism and thyrotoxicosis.  Although these lab values must be present to have thyroid storm, there is no definitive value </w:t>
      </w:r>
      <w:r w:rsidR="00125498">
        <w:rPr>
          <w:rFonts w:ascii="Times New Roman" w:hAnsi="Times New Roman" w:cs="Times New Roman"/>
          <w:sz w:val="24"/>
          <w:szCs w:val="24"/>
        </w:rPr>
        <w:t xml:space="preserve">of these tests </w:t>
      </w:r>
      <w:r w:rsidR="008D0425">
        <w:rPr>
          <w:rFonts w:ascii="Times New Roman" w:hAnsi="Times New Roman" w:cs="Times New Roman"/>
          <w:sz w:val="24"/>
          <w:szCs w:val="24"/>
        </w:rPr>
        <w:t xml:space="preserve">for the diagnosis.  As mentioned above there are clinical criteria that are used </w:t>
      </w:r>
      <w:r w:rsidR="00DE422C">
        <w:rPr>
          <w:rFonts w:ascii="Times New Roman" w:hAnsi="Times New Roman" w:cs="Times New Roman"/>
          <w:sz w:val="24"/>
          <w:szCs w:val="24"/>
        </w:rPr>
        <w:t xml:space="preserve">to evaluate and assist with making a </w:t>
      </w:r>
      <w:r w:rsidR="00DE422C">
        <w:rPr>
          <w:rFonts w:ascii="Times New Roman" w:hAnsi="Times New Roman" w:cs="Times New Roman"/>
          <w:sz w:val="24"/>
          <w:szCs w:val="24"/>
        </w:rPr>
        <w:lastRenderedPageBreak/>
        <w:t xml:space="preserve">diagnosis or the likelihood of a patient having thyroid storm.  </w:t>
      </w:r>
      <w:r w:rsidR="00724B5A">
        <w:rPr>
          <w:rFonts w:ascii="Times New Roman" w:hAnsi="Times New Roman" w:cs="Times New Roman"/>
          <w:sz w:val="24"/>
          <w:szCs w:val="24"/>
          <w:lang w:val="en"/>
        </w:rPr>
        <w:t>Burch and Wartofsky (1993</w:t>
      </w:r>
      <w:r w:rsidR="00544282">
        <w:rPr>
          <w:rFonts w:ascii="Times New Roman" w:hAnsi="Times New Roman" w:cs="Times New Roman"/>
          <w:sz w:val="24"/>
          <w:szCs w:val="24"/>
          <w:lang w:val="en"/>
        </w:rPr>
        <w:t>)</w:t>
      </w:r>
      <w:r w:rsidR="00724B5A">
        <w:rPr>
          <w:rFonts w:ascii="Times New Roman" w:hAnsi="Times New Roman" w:cs="Times New Roman"/>
          <w:sz w:val="24"/>
          <w:szCs w:val="24"/>
          <w:lang w:val="en"/>
        </w:rPr>
        <w:t xml:space="preserve"> designed a scoring system using six different clinical criteria</w:t>
      </w:r>
      <w:r w:rsidR="00544282">
        <w:rPr>
          <w:rFonts w:ascii="Times New Roman" w:hAnsi="Times New Roman" w:cs="Times New Roman"/>
          <w:sz w:val="24"/>
          <w:szCs w:val="24"/>
          <w:lang w:val="en"/>
        </w:rPr>
        <w:t xml:space="preserve"> </w:t>
      </w:r>
      <w:r w:rsidR="0005650E">
        <w:rPr>
          <w:rFonts w:ascii="Times New Roman" w:hAnsi="Times New Roman" w:cs="Times New Roman"/>
          <w:sz w:val="24"/>
          <w:szCs w:val="24"/>
          <w:lang w:val="en"/>
        </w:rPr>
        <w:t>(see Table 1</w:t>
      </w:r>
      <w:r w:rsidR="006C11EB">
        <w:rPr>
          <w:rFonts w:ascii="Times New Roman" w:hAnsi="Times New Roman" w:cs="Times New Roman"/>
          <w:sz w:val="24"/>
          <w:szCs w:val="24"/>
          <w:lang w:val="en"/>
        </w:rPr>
        <w:t xml:space="preserve"> for diagnostic parameters and scoring denominations</w:t>
      </w:r>
      <w:r w:rsidR="0005650E">
        <w:rPr>
          <w:rFonts w:ascii="Times New Roman" w:hAnsi="Times New Roman" w:cs="Times New Roman"/>
          <w:sz w:val="24"/>
          <w:szCs w:val="24"/>
          <w:lang w:val="en"/>
        </w:rPr>
        <w:t>)</w:t>
      </w:r>
      <w:r w:rsidR="00724B5A">
        <w:rPr>
          <w:rFonts w:ascii="Times New Roman" w:hAnsi="Times New Roman" w:cs="Times New Roman"/>
          <w:sz w:val="24"/>
          <w:szCs w:val="24"/>
          <w:lang w:val="en"/>
        </w:rPr>
        <w:t xml:space="preserve">.  </w:t>
      </w:r>
    </w:p>
    <w:p w:rsidR="003E17E3" w:rsidRDefault="003E17E3" w:rsidP="003E17E3">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Table 1</w:t>
      </w:r>
    </w:p>
    <w:p w:rsidR="003E17E3" w:rsidRDefault="003E17E3" w:rsidP="003E17E3">
      <w:pPr>
        <w:spacing w:line="480" w:lineRule="auto"/>
        <w:contextualSpacing/>
        <w:rPr>
          <w:rFonts w:ascii="Times New Roman" w:hAnsi="Times New Roman" w:cs="Times New Roman"/>
          <w:i/>
          <w:sz w:val="24"/>
          <w:szCs w:val="24"/>
        </w:rPr>
      </w:pPr>
      <w:r>
        <w:rPr>
          <w:rFonts w:ascii="Times New Roman" w:hAnsi="Times New Roman" w:cs="Times New Roman"/>
          <w:i/>
          <w:sz w:val="24"/>
          <w:szCs w:val="24"/>
        </w:rPr>
        <w:t xml:space="preserve">Diagnostic </w:t>
      </w:r>
      <w:r w:rsidR="000B6360">
        <w:rPr>
          <w:rFonts w:ascii="Times New Roman" w:hAnsi="Times New Roman" w:cs="Times New Roman"/>
          <w:i/>
          <w:sz w:val="24"/>
          <w:szCs w:val="24"/>
        </w:rPr>
        <w:t>Criteria for Thyroid Storm</w:t>
      </w:r>
    </w:p>
    <w:tbl>
      <w:tblPr>
        <w:tblStyle w:val="TableGrid"/>
        <w:tblW w:w="0" w:type="auto"/>
        <w:tblLook w:val="04A0" w:firstRow="1" w:lastRow="0" w:firstColumn="1" w:lastColumn="0" w:noHBand="0" w:noVBand="1"/>
      </w:tblPr>
      <w:tblGrid>
        <w:gridCol w:w="4068"/>
        <w:gridCol w:w="720"/>
        <w:gridCol w:w="4140"/>
        <w:gridCol w:w="648"/>
      </w:tblGrid>
      <w:tr w:rsidR="003E17E3" w:rsidTr="005D5814">
        <w:tc>
          <w:tcPr>
            <w:tcW w:w="4788" w:type="dxa"/>
            <w:gridSpan w:val="2"/>
          </w:tcPr>
          <w:p w:rsidR="003E17E3" w:rsidRPr="003E17E3" w:rsidRDefault="003E17E3" w:rsidP="005D5814">
            <w:pPr>
              <w:spacing w:line="480" w:lineRule="auto"/>
              <w:contextualSpacing/>
              <w:jc w:val="center"/>
              <w:rPr>
                <w:rFonts w:ascii="Times New Roman" w:hAnsi="Times New Roman" w:cs="Times New Roman"/>
                <w:b/>
              </w:rPr>
            </w:pPr>
            <w:r w:rsidRPr="003E17E3">
              <w:rPr>
                <w:rFonts w:ascii="Times New Roman" w:hAnsi="Times New Roman" w:cs="Times New Roman"/>
                <w:b/>
              </w:rPr>
              <w:t>Thermoregulatory Dysfunction</w:t>
            </w:r>
          </w:p>
        </w:tc>
        <w:tc>
          <w:tcPr>
            <w:tcW w:w="4788" w:type="dxa"/>
            <w:gridSpan w:val="2"/>
          </w:tcPr>
          <w:p w:rsidR="003E17E3" w:rsidRPr="003E17E3" w:rsidRDefault="003E17E3" w:rsidP="005D5814">
            <w:pPr>
              <w:spacing w:line="480" w:lineRule="auto"/>
              <w:contextualSpacing/>
              <w:jc w:val="center"/>
              <w:rPr>
                <w:rFonts w:ascii="Times New Roman" w:hAnsi="Times New Roman" w:cs="Times New Roman"/>
                <w:b/>
              </w:rPr>
            </w:pPr>
            <w:r w:rsidRPr="003E17E3">
              <w:rPr>
                <w:rFonts w:ascii="Times New Roman" w:hAnsi="Times New Roman" w:cs="Times New Roman"/>
                <w:b/>
              </w:rPr>
              <w:t>Cardiovascular Dysfunction</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b/>
              </w:rPr>
              <w:t>Temperature (Fahrenheit/Celsius</w:t>
            </w:r>
            <w:r w:rsidRPr="003E17E3">
              <w:rPr>
                <w:rFonts w:ascii="Times New Roman" w:hAnsi="Times New Roman" w:cs="Times New Roman"/>
              </w:rPr>
              <w:t>)</w:t>
            </w:r>
          </w:p>
        </w:tc>
        <w:tc>
          <w:tcPr>
            <w:tcW w:w="720" w:type="dxa"/>
          </w:tcPr>
          <w:p w:rsidR="003E17E3" w:rsidRPr="003E17E3" w:rsidRDefault="003E17E3" w:rsidP="005D5814">
            <w:pPr>
              <w:contextualSpacing/>
              <w:rPr>
                <w:rFonts w:ascii="Times New Roman" w:hAnsi="Times New Roman" w:cs="Times New Roman"/>
                <w:b/>
              </w:rPr>
            </w:pPr>
          </w:p>
        </w:tc>
        <w:tc>
          <w:tcPr>
            <w:tcW w:w="4140"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b/>
              </w:rPr>
              <w:t>Tachycardia</w:t>
            </w:r>
          </w:p>
        </w:tc>
        <w:tc>
          <w:tcPr>
            <w:tcW w:w="648" w:type="dxa"/>
          </w:tcPr>
          <w:p w:rsidR="003E17E3" w:rsidRPr="003E17E3" w:rsidRDefault="003E17E3" w:rsidP="005D5814">
            <w:pPr>
              <w:contextualSpacing/>
              <w:rPr>
                <w:rFonts w:ascii="Times New Roman" w:hAnsi="Times New Roman" w:cs="Times New Roman"/>
                <w:b/>
              </w:rPr>
            </w:pP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99 to 99.9 / 37.2 237.7</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5</w:t>
            </w:r>
          </w:p>
        </w:tc>
        <w:tc>
          <w:tcPr>
            <w:tcW w:w="4140"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99 to 109</w:t>
            </w:r>
          </w:p>
        </w:tc>
        <w:tc>
          <w:tcPr>
            <w:tcW w:w="64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5</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100 to 100.9 / 37.8 to 38.2</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10</w:t>
            </w:r>
          </w:p>
        </w:tc>
        <w:tc>
          <w:tcPr>
            <w:tcW w:w="4140"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110 to 119</w:t>
            </w:r>
          </w:p>
        </w:tc>
        <w:tc>
          <w:tcPr>
            <w:tcW w:w="64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10</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101 to 101.9 / 30.3 to 38.8</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15</w:t>
            </w:r>
          </w:p>
        </w:tc>
        <w:tc>
          <w:tcPr>
            <w:tcW w:w="4140"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120 to 129</w:t>
            </w:r>
          </w:p>
        </w:tc>
        <w:tc>
          <w:tcPr>
            <w:tcW w:w="64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15</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102 to 102.9 / 38.9 to 39.4</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20</w:t>
            </w:r>
          </w:p>
        </w:tc>
        <w:tc>
          <w:tcPr>
            <w:tcW w:w="4140"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130 to 139</w:t>
            </w:r>
          </w:p>
        </w:tc>
        <w:tc>
          <w:tcPr>
            <w:tcW w:w="64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20</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103 to 103.9 / 39.4 239.9</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25</w:t>
            </w:r>
          </w:p>
        </w:tc>
        <w:tc>
          <w:tcPr>
            <w:tcW w:w="4140"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 140</w:t>
            </w:r>
          </w:p>
        </w:tc>
        <w:tc>
          <w:tcPr>
            <w:tcW w:w="64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25</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 104.0 / ˃40.0</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30</w:t>
            </w:r>
          </w:p>
        </w:tc>
        <w:tc>
          <w:tcPr>
            <w:tcW w:w="4140"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b/>
              </w:rPr>
              <w:t>Atrial fibrillation</w:t>
            </w:r>
          </w:p>
        </w:tc>
        <w:tc>
          <w:tcPr>
            <w:tcW w:w="64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10</w:t>
            </w:r>
          </w:p>
        </w:tc>
      </w:tr>
      <w:tr w:rsidR="003E17E3" w:rsidTr="005D5814">
        <w:tc>
          <w:tcPr>
            <w:tcW w:w="4788" w:type="dxa"/>
            <w:gridSpan w:val="2"/>
          </w:tcPr>
          <w:p w:rsidR="003E17E3" w:rsidRPr="003E17E3" w:rsidRDefault="003E17E3" w:rsidP="005D5814">
            <w:pPr>
              <w:contextualSpacing/>
              <w:jc w:val="center"/>
              <w:rPr>
                <w:rFonts w:ascii="Times New Roman" w:hAnsi="Times New Roman" w:cs="Times New Roman"/>
                <w:b/>
              </w:rPr>
            </w:pPr>
            <w:r w:rsidRPr="003E17E3">
              <w:rPr>
                <w:rFonts w:ascii="Times New Roman" w:hAnsi="Times New Roman" w:cs="Times New Roman"/>
                <w:b/>
              </w:rPr>
              <w:t>Central nervous system effects</w:t>
            </w:r>
          </w:p>
          <w:p w:rsidR="003E17E3" w:rsidRPr="003E17E3" w:rsidRDefault="003E17E3" w:rsidP="005D5814">
            <w:pPr>
              <w:contextualSpacing/>
              <w:jc w:val="center"/>
              <w:rPr>
                <w:rFonts w:ascii="Times New Roman" w:hAnsi="Times New Roman" w:cs="Times New Roman"/>
              </w:rPr>
            </w:pPr>
          </w:p>
        </w:tc>
        <w:tc>
          <w:tcPr>
            <w:tcW w:w="4788" w:type="dxa"/>
            <w:gridSpan w:val="2"/>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b/>
              </w:rPr>
              <w:t>Heart failure</w:t>
            </w:r>
          </w:p>
        </w:tc>
      </w:tr>
      <w:tr w:rsidR="003E17E3" w:rsidTr="005D5814">
        <w:tc>
          <w:tcPr>
            <w:tcW w:w="4068" w:type="dxa"/>
          </w:tcPr>
          <w:p w:rsidR="003E17E3" w:rsidRPr="003E17E3" w:rsidRDefault="003E17E3" w:rsidP="005D5814">
            <w:pPr>
              <w:contextualSpacing/>
              <w:rPr>
                <w:rFonts w:ascii="Times New Roman" w:hAnsi="Times New Roman" w:cs="Times New Roman"/>
                <w:b/>
              </w:rPr>
            </w:pPr>
            <w:r w:rsidRPr="003E17E3">
              <w:rPr>
                <w:rFonts w:ascii="Times New Roman" w:hAnsi="Times New Roman" w:cs="Times New Roman"/>
                <w:b/>
              </w:rPr>
              <w:t>Mild</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Agitation</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10</w:t>
            </w:r>
          </w:p>
        </w:tc>
        <w:tc>
          <w:tcPr>
            <w:tcW w:w="4140" w:type="dxa"/>
          </w:tcPr>
          <w:p w:rsidR="003E17E3" w:rsidRPr="003E17E3" w:rsidRDefault="003E17E3" w:rsidP="005D5814">
            <w:pPr>
              <w:contextualSpacing/>
              <w:rPr>
                <w:rFonts w:ascii="Times New Roman" w:hAnsi="Times New Roman" w:cs="Times New Roman"/>
                <w:b/>
              </w:rPr>
            </w:pPr>
            <w:r w:rsidRPr="003E17E3">
              <w:rPr>
                <w:rFonts w:ascii="Times New Roman" w:hAnsi="Times New Roman" w:cs="Times New Roman"/>
                <w:b/>
              </w:rPr>
              <w:t>Mild</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Pedal edema</w:t>
            </w:r>
          </w:p>
        </w:tc>
        <w:tc>
          <w:tcPr>
            <w:tcW w:w="648"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5</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b/>
              </w:rPr>
              <w:t>Moderate</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Delirium</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Psychosis</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Extreme Lethargy</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20</w:t>
            </w:r>
          </w:p>
        </w:tc>
        <w:tc>
          <w:tcPr>
            <w:tcW w:w="4140" w:type="dxa"/>
          </w:tcPr>
          <w:p w:rsidR="003E17E3" w:rsidRPr="003E17E3" w:rsidRDefault="003E17E3" w:rsidP="005D5814">
            <w:pPr>
              <w:contextualSpacing/>
              <w:rPr>
                <w:rFonts w:ascii="Times New Roman" w:hAnsi="Times New Roman" w:cs="Times New Roman"/>
                <w:b/>
              </w:rPr>
            </w:pPr>
            <w:r w:rsidRPr="003E17E3">
              <w:rPr>
                <w:rFonts w:ascii="Times New Roman" w:hAnsi="Times New Roman" w:cs="Times New Roman"/>
                <w:b/>
              </w:rPr>
              <w:t>Moderate</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Bibasilar rales</w:t>
            </w:r>
          </w:p>
        </w:tc>
        <w:tc>
          <w:tcPr>
            <w:tcW w:w="648"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10</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b/>
              </w:rPr>
              <w:t>Severe</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Seizure</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Coma</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30</w:t>
            </w:r>
          </w:p>
        </w:tc>
        <w:tc>
          <w:tcPr>
            <w:tcW w:w="4140" w:type="dxa"/>
          </w:tcPr>
          <w:p w:rsidR="003E17E3" w:rsidRPr="003E17E3" w:rsidRDefault="003E17E3" w:rsidP="005D5814">
            <w:pPr>
              <w:contextualSpacing/>
              <w:rPr>
                <w:rFonts w:ascii="Times New Roman" w:hAnsi="Times New Roman" w:cs="Times New Roman"/>
                <w:b/>
              </w:rPr>
            </w:pPr>
            <w:r w:rsidRPr="003E17E3">
              <w:rPr>
                <w:rFonts w:ascii="Times New Roman" w:hAnsi="Times New Roman" w:cs="Times New Roman"/>
                <w:b/>
              </w:rPr>
              <w:t>Severe</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Pulmonary edema</w:t>
            </w:r>
          </w:p>
        </w:tc>
        <w:tc>
          <w:tcPr>
            <w:tcW w:w="648"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15</w:t>
            </w:r>
          </w:p>
        </w:tc>
      </w:tr>
      <w:tr w:rsidR="003E17E3" w:rsidTr="005D5814">
        <w:tc>
          <w:tcPr>
            <w:tcW w:w="4788" w:type="dxa"/>
            <w:gridSpan w:val="2"/>
          </w:tcPr>
          <w:p w:rsidR="003E17E3" w:rsidRPr="003E17E3" w:rsidRDefault="003E17E3" w:rsidP="005D5814">
            <w:pPr>
              <w:contextualSpacing/>
              <w:jc w:val="center"/>
              <w:rPr>
                <w:rFonts w:ascii="Times New Roman" w:hAnsi="Times New Roman" w:cs="Times New Roman"/>
                <w:b/>
              </w:rPr>
            </w:pPr>
            <w:r w:rsidRPr="003E17E3">
              <w:rPr>
                <w:rFonts w:ascii="Times New Roman" w:hAnsi="Times New Roman" w:cs="Times New Roman"/>
                <w:b/>
              </w:rPr>
              <w:t>Gastrointestinal – hepatic dysfunction</w:t>
            </w:r>
          </w:p>
          <w:p w:rsidR="003E17E3" w:rsidRPr="003E17E3" w:rsidRDefault="003E17E3" w:rsidP="005D5814">
            <w:pPr>
              <w:contextualSpacing/>
              <w:jc w:val="center"/>
              <w:rPr>
                <w:rFonts w:ascii="Times New Roman" w:hAnsi="Times New Roman" w:cs="Times New Roman"/>
              </w:rPr>
            </w:pPr>
          </w:p>
        </w:tc>
        <w:tc>
          <w:tcPr>
            <w:tcW w:w="4788" w:type="dxa"/>
            <w:gridSpan w:val="2"/>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b/>
              </w:rPr>
              <w:t>Precipitant history</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b/>
              </w:rPr>
              <w:t>Moderate</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Diarrhea</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Nausea/Vomiting</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Abdominal Pain</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10</w:t>
            </w:r>
          </w:p>
        </w:tc>
        <w:tc>
          <w:tcPr>
            <w:tcW w:w="4140" w:type="dxa"/>
          </w:tcPr>
          <w:p w:rsidR="003E17E3" w:rsidRPr="000B6360" w:rsidRDefault="003E17E3" w:rsidP="005D5814">
            <w:pPr>
              <w:contextualSpacing/>
              <w:rPr>
                <w:rFonts w:ascii="Times New Roman" w:hAnsi="Times New Roman" w:cs="Times New Roman"/>
                <w:b/>
              </w:rPr>
            </w:pPr>
            <w:r w:rsidRPr="000B6360">
              <w:rPr>
                <w:rFonts w:ascii="Times New Roman" w:hAnsi="Times New Roman" w:cs="Times New Roman"/>
                <w:b/>
              </w:rPr>
              <w:t>Negative</w:t>
            </w:r>
          </w:p>
          <w:p w:rsidR="003E17E3" w:rsidRPr="000B6360" w:rsidRDefault="003E17E3" w:rsidP="005D5814">
            <w:pPr>
              <w:contextualSpacing/>
              <w:rPr>
                <w:rFonts w:ascii="Times New Roman" w:hAnsi="Times New Roman" w:cs="Times New Roman"/>
                <w:b/>
              </w:rPr>
            </w:pPr>
          </w:p>
          <w:p w:rsidR="003E17E3" w:rsidRPr="000B6360" w:rsidRDefault="003E17E3" w:rsidP="005D5814">
            <w:pPr>
              <w:contextualSpacing/>
              <w:rPr>
                <w:rFonts w:ascii="Times New Roman" w:hAnsi="Times New Roman" w:cs="Times New Roman"/>
                <w:b/>
              </w:rPr>
            </w:pPr>
          </w:p>
          <w:p w:rsidR="003E17E3" w:rsidRPr="003E17E3" w:rsidRDefault="003E17E3" w:rsidP="005D5814">
            <w:pPr>
              <w:contextualSpacing/>
              <w:rPr>
                <w:rFonts w:ascii="Times New Roman" w:hAnsi="Times New Roman" w:cs="Times New Roman"/>
              </w:rPr>
            </w:pPr>
            <w:r w:rsidRPr="000B6360">
              <w:rPr>
                <w:rFonts w:ascii="Times New Roman" w:hAnsi="Times New Roman" w:cs="Times New Roman"/>
                <w:b/>
              </w:rPr>
              <w:t>Positive</w:t>
            </w:r>
          </w:p>
        </w:tc>
        <w:tc>
          <w:tcPr>
            <w:tcW w:w="64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0</w:t>
            </w:r>
          </w:p>
          <w:p w:rsidR="003E17E3" w:rsidRPr="003E17E3" w:rsidRDefault="003E17E3" w:rsidP="005D5814">
            <w:pPr>
              <w:contextualSpacing/>
              <w:rPr>
                <w:rFonts w:ascii="Times New Roman" w:hAnsi="Times New Roman" w:cs="Times New Roman"/>
              </w:rPr>
            </w:pPr>
          </w:p>
          <w:p w:rsidR="003E17E3" w:rsidRDefault="003E17E3" w:rsidP="005D5814">
            <w:pPr>
              <w:contextualSpacing/>
              <w:rPr>
                <w:rFonts w:ascii="Times New Roman" w:hAnsi="Times New Roman" w:cs="Times New Roman"/>
              </w:rPr>
            </w:pP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10</w:t>
            </w:r>
          </w:p>
        </w:tc>
      </w:tr>
      <w:tr w:rsidR="003E17E3" w:rsidTr="005D5814">
        <w:tc>
          <w:tcPr>
            <w:tcW w:w="4068" w:type="dxa"/>
          </w:tcPr>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b/>
              </w:rPr>
              <w:t>Severe</w:t>
            </w:r>
          </w:p>
          <w:p w:rsidR="003E17E3" w:rsidRPr="003E17E3" w:rsidRDefault="003E17E3" w:rsidP="005D5814">
            <w:pPr>
              <w:contextualSpacing/>
              <w:rPr>
                <w:rFonts w:ascii="Times New Roman" w:hAnsi="Times New Roman" w:cs="Times New Roman"/>
              </w:rPr>
            </w:pPr>
            <w:r w:rsidRPr="003E17E3">
              <w:rPr>
                <w:rFonts w:ascii="Times New Roman" w:hAnsi="Times New Roman" w:cs="Times New Roman"/>
              </w:rPr>
              <w:t>Unexplained jaundice</w:t>
            </w:r>
          </w:p>
        </w:tc>
        <w:tc>
          <w:tcPr>
            <w:tcW w:w="720" w:type="dxa"/>
          </w:tcPr>
          <w:p w:rsidR="003E17E3" w:rsidRPr="003E17E3" w:rsidRDefault="003E17E3" w:rsidP="005D5814">
            <w:pPr>
              <w:contextualSpacing/>
              <w:jc w:val="center"/>
              <w:rPr>
                <w:rFonts w:ascii="Times New Roman" w:hAnsi="Times New Roman" w:cs="Times New Roman"/>
              </w:rPr>
            </w:pPr>
            <w:r w:rsidRPr="003E17E3">
              <w:rPr>
                <w:rFonts w:ascii="Times New Roman" w:hAnsi="Times New Roman" w:cs="Times New Roman"/>
              </w:rPr>
              <w:t>20</w:t>
            </w:r>
          </w:p>
        </w:tc>
        <w:tc>
          <w:tcPr>
            <w:tcW w:w="4140" w:type="dxa"/>
          </w:tcPr>
          <w:p w:rsidR="003E17E3" w:rsidRPr="003E17E3" w:rsidRDefault="003E17E3" w:rsidP="005D5814">
            <w:pPr>
              <w:contextualSpacing/>
              <w:rPr>
                <w:rFonts w:ascii="Times New Roman" w:hAnsi="Times New Roman" w:cs="Times New Roman"/>
              </w:rPr>
            </w:pPr>
          </w:p>
        </w:tc>
        <w:tc>
          <w:tcPr>
            <w:tcW w:w="648" w:type="dxa"/>
          </w:tcPr>
          <w:p w:rsidR="003E17E3" w:rsidRPr="003E17E3" w:rsidRDefault="003E17E3" w:rsidP="005D5814">
            <w:pPr>
              <w:contextualSpacing/>
              <w:rPr>
                <w:rFonts w:ascii="Times New Roman" w:hAnsi="Times New Roman" w:cs="Times New Roman"/>
              </w:rPr>
            </w:pPr>
          </w:p>
        </w:tc>
      </w:tr>
    </w:tbl>
    <w:p w:rsidR="004268CB" w:rsidRDefault="003E17E3" w:rsidP="004268CB">
      <w:pPr>
        <w:spacing w:line="240" w:lineRule="auto"/>
        <w:contextualSpacing/>
        <w:rPr>
          <w:rFonts w:ascii="Times New Roman" w:hAnsi="Times New Roman" w:cs="Times New Roman"/>
          <w:sz w:val="24"/>
          <w:szCs w:val="24"/>
          <w:lang w:val="en"/>
        </w:rPr>
      </w:pPr>
      <w:r>
        <w:rPr>
          <w:rFonts w:ascii="Times New Roman" w:hAnsi="Times New Roman" w:cs="Times New Roman"/>
          <w:i/>
          <w:sz w:val="24"/>
          <w:szCs w:val="24"/>
          <w:lang w:val="en"/>
        </w:rPr>
        <w:t>Note.</w:t>
      </w:r>
      <w:r>
        <w:rPr>
          <w:rFonts w:ascii="Times New Roman" w:hAnsi="Times New Roman" w:cs="Times New Roman"/>
          <w:sz w:val="24"/>
          <w:szCs w:val="24"/>
          <w:lang w:val="en"/>
        </w:rPr>
        <w:t xml:space="preserve"> </w:t>
      </w:r>
      <w:r w:rsidR="000B6360">
        <w:rPr>
          <w:rFonts w:ascii="Times New Roman" w:hAnsi="Times New Roman" w:cs="Times New Roman"/>
          <w:sz w:val="24"/>
          <w:szCs w:val="24"/>
          <w:lang w:val="en"/>
        </w:rPr>
        <w:t>Adapted from “Thyrotoxicosis and Thyroid Storm,” by Nayak and Burman</w:t>
      </w:r>
      <w:r w:rsidR="00125498">
        <w:rPr>
          <w:rFonts w:ascii="Times New Roman" w:hAnsi="Times New Roman" w:cs="Times New Roman"/>
          <w:sz w:val="24"/>
          <w:szCs w:val="24"/>
          <w:lang w:val="en"/>
        </w:rPr>
        <w:t xml:space="preserve">, 2006, </w:t>
      </w:r>
      <w:r w:rsidR="00125498" w:rsidRPr="00125498">
        <w:rPr>
          <w:rFonts w:ascii="Times New Roman" w:hAnsi="Times New Roman" w:cs="Times New Roman"/>
          <w:i/>
          <w:sz w:val="24"/>
          <w:szCs w:val="24"/>
          <w:lang w:val="en"/>
        </w:rPr>
        <w:t>Journal of Endocrinology and Metabolism Clinics of North America</w:t>
      </w:r>
      <w:r w:rsidR="00125498">
        <w:rPr>
          <w:rFonts w:ascii="Times New Roman" w:hAnsi="Times New Roman" w:cs="Times New Roman"/>
          <w:sz w:val="24"/>
          <w:szCs w:val="24"/>
          <w:lang w:val="en"/>
        </w:rPr>
        <w:t xml:space="preserve">, 35, p. 664.  </w:t>
      </w:r>
    </w:p>
    <w:p w:rsidR="003E17E3" w:rsidRPr="003E17E3" w:rsidRDefault="003E17E3" w:rsidP="004268CB">
      <w:pPr>
        <w:spacing w:line="240" w:lineRule="auto"/>
        <w:contextualSpacing/>
        <w:rPr>
          <w:rFonts w:ascii="Times New Roman" w:hAnsi="Times New Roman" w:cs="Times New Roman"/>
          <w:sz w:val="24"/>
          <w:szCs w:val="24"/>
          <w:lang w:val="en"/>
        </w:rPr>
      </w:pPr>
    </w:p>
    <w:p w:rsidR="00125498" w:rsidRDefault="00544282" w:rsidP="003E17E3">
      <w:pPr>
        <w:spacing w:line="480" w:lineRule="auto"/>
        <w:ind w:firstLine="720"/>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The </w:t>
      </w:r>
      <w:r w:rsidR="0005650E">
        <w:rPr>
          <w:rFonts w:ascii="Times New Roman" w:hAnsi="Times New Roman" w:cs="Times New Roman"/>
          <w:sz w:val="24"/>
          <w:szCs w:val="24"/>
          <w:lang w:val="en"/>
        </w:rPr>
        <w:t>six</w:t>
      </w:r>
      <w:r>
        <w:rPr>
          <w:rFonts w:ascii="Times New Roman" w:hAnsi="Times New Roman" w:cs="Times New Roman"/>
          <w:sz w:val="24"/>
          <w:szCs w:val="24"/>
          <w:lang w:val="en"/>
        </w:rPr>
        <w:t xml:space="preserve"> diagnostic parameter</w:t>
      </w:r>
      <w:r w:rsidR="0005650E">
        <w:rPr>
          <w:rFonts w:ascii="Times New Roman" w:hAnsi="Times New Roman" w:cs="Times New Roman"/>
          <w:sz w:val="24"/>
          <w:szCs w:val="24"/>
          <w:lang w:val="en"/>
        </w:rPr>
        <w:t xml:space="preserve">s are </w:t>
      </w:r>
      <w:r>
        <w:rPr>
          <w:rFonts w:ascii="Times New Roman" w:hAnsi="Times New Roman" w:cs="Times New Roman"/>
          <w:sz w:val="24"/>
          <w:szCs w:val="24"/>
          <w:lang w:val="en"/>
        </w:rPr>
        <w:t xml:space="preserve">thermoregulatory </w:t>
      </w:r>
      <w:r w:rsidR="0005650E">
        <w:rPr>
          <w:rFonts w:ascii="Times New Roman" w:hAnsi="Times New Roman" w:cs="Times New Roman"/>
          <w:sz w:val="24"/>
          <w:szCs w:val="24"/>
          <w:lang w:val="en"/>
        </w:rPr>
        <w:t xml:space="preserve">dysfunction, central nervous system effects, gastrointestinal-hepatic dysfunction, cardiovascular dysfunction, heart failure, and precipitating history.  The </w:t>
      </w:r>
      <w:r w:rsidR="006C11EB">
        <w:rPr>
          <w:rFonts w:ascii="Times New Roman" w:hAnsi="Times New Roman" w:cs="Times New Roman"/>
          <w:sz w:val="24"/>
          <w:szCs w:val="24"/>
          <w:lang w:val="en"/>
        </w:rPr>
        <w:t>higher</w:t>
      </w:r>
      <w:r w:rsidR="0005650E">
        <w:rPr>
          <w:rFonts w:ascii="Times New Roman" w:hAnsi="Times New Roman" w:cs="Times New Roman"/>
          <w:sz w:val="24"/>
          <w:szCs w:val="24"/>
          <w:lang w:val="en"/>
        </w:rPr>
        <w:t xml:space="preserve"> severity of the </w:t>
      </w:r>
      <w:r w:rsidR="006C11EB">
        <w:rPr>
          <w:rFonts w:ascii="Times New Roman" w:hAnsi="Times New Roman" w:cs="Times New Roman"/>
          <w:sz w:val="24"/>
          <w:szCs w:val="24"/>
          <w:lang w:val="en"/>
        </w:rPr>
        <w:t xml:space="preserve">signs and symptoms in each area are given more points.  A score of </w:t>
      </w:r>
      <w:r w:rsidR="007A0177">
        <w:rPr>
          <w:rFonts w:ascii="Times New Roman" w:hAnsi="Times New Roman" w:cs="Times New Roman"/>
          <w:sz w:val="24"/>
          <w:szCs w:val="24"/>
          <w:lang w:val="en"/>
        </w:rPr>
        <w:t xml:space="preserve">45 or greater is highly suggestive of thyroid storm.  A score of 25 to 44 is </w:t>
      </w:r>
      <w:r w:rsidR="007A0177">
        <w:rPr>
          <w:rFonts w:ascii="Times New Roman" w:hAnsi="Times New Roman" w:cs="Times New Roman"/>
          <w:sz w:val="24"/>
          <w:szCs w:val="24"/>
          <w:lang w:val="en"/>
        </w:rPr>
        <w:lastRenderedPageBreak/>
        <w:t>suggestive of impending storm, and a score</w:t>
      </w:r>
      <w:r w:rsidR="007E4EAF">
        <w:rPr>
          <w:rFonts w:ascii="Times New Roman" w:hAnsi="Times New Roman" w:cs="Times New Roman"/>
          <w:sz w:val="24"/>
          <w:szCs w:val="24"/>
          <w:lang w:val="en"/>
        </w:rPr>
        <w:t xml:space="preserve"> </w:t>
      </w:r>
      <w:r w:rsidR="007A0177">
        <w:rPr>
          <w:rFonts w:ascii="Times New Roman" w:hAnsi="Times New Roman" w:cs="Times New Roman"/>
          <w:sz w:val="24"/>
          <w:szCs w:val="24"/>
          <w:lang w:val="en"/>
        </w:rPr>
        <w:t>below 25 is unlikely to be thyroid storm.</w:t>
      </w:r>
      <w:r w:rsidR="006C11EB">
        <w:rPr>
          <w:rFonts w:ascii="Times New Roman" w:hAnsi="Times New Roman" w:cs="Times New Roman"/>
          <w:sz w:val="24"/>
          <w:szCs w:val="24"/>
          <w:lang w:val="en"/>
        </w:rPr>
        <w:t xml:space="preserve"> </w:t>
      </w:r>
      <w:r w:rsidR="007A0177">
        <w:rPr>
          <w:rFonts w:ascii="Times New Roman" w:hAnsi="Times New Roman" w:cs="Times New Roman"/>
          <w:sz w:val="24"/>
          <w:szCs w:val="24"/>
          <w:lang w:val="en"/>
        </w:rPr>
        <w:t>This clin</w:t>
      </w:r>
      <w:r w:rsidR="007815E9">
        <w:rPr>
          <w:rFonts w:ascii="Times New Roman" w:hAnsi="Times New Roman" w:cs="Times New Roman"/>
          <w:sz w:val="24"/>
          <w:szCs w:val="24"/>
          <w:lang w:val="en"/>
        </w:rPr>
        <w:t>ical tool is recommended and</w:t>
      </w:r>
      <w:r w:rsidR="007A0177">
        <w:rPr>
          <w:rFonts w:ascii="Times New Roman" w:hAnsi="Times New Roman" w:cs="Times New Roman"/>
          <w:sz w:val="24"/>
          <w:szCs w:val="24"/>
          <w:lang w:val="en"/>
        </w:rPr>
        <w:t xml:space="preserve"> used by many practitioners for the evaluation of thyroid storm (Nayak &amp; Burman, 2006; Ross, 2013).  </w:t>
      </w:r>
      <w:r w:rsidR="007815E9">
        <w:rPr>
          <w:rFonts w:ascii="Times New Roman" w:hAnsi="Times New Roman" w:cs="Times New Roman"/>
          <w:sz w:val="24"/>
          <w:szCs w:val="24"/>
          <w:lang w:val="en"/>
        </w:rPr>
        <w:t>N</w:t>
      </w:r>
      <w:r w:rsidR="00125498">
        <w:rPr>
          <w:rFonts w:ascii="Times New Roman" w:hAnsi="Times New Roman" w:cs="Times New Roman"/>
          <w:sz w:val="24"/>
          <w:szCs w:val="24"/>
          <w:lang w:val="en"/>
        </w:rPr>
        <w:t xml:space="preserve">ausea and vomiting, tachycardia, fever, and pulmonary edema are all specific criteria for the diagnostic evaluation of thyroid storm.  Tremor </w:t>
      </w:r>
      <w:r w:rsidR="00F542D2">
        <w:rPr>
          <w:rFonts w:ascii="Times New Roman" w:hAnsi="Times New Roman" w:cs="Times New Roman"/>
          <w:sz w:val="24"/>
          <w:szCs w:val="24"/>
          <w:lang w:val="en"/>
        </w:rPr>
        <w:t>is a clinical feature of hyperthyroidism and thyroid storm</w:t>
      </w:r>
      <w:r w:rsidR="007815E9">
        <w:rPr>
          <w:rFonts w:ascii="Times New Roman" w:hAnsi="Times New Roman" w:cs="Times New Roman"/>
          <w:sz w:val="24"/>
          <w:szCs w:val="24"/>
          <w:lang w:val="en"/>
        </w:rPr>
        <w:t>,</w:t>
      </w:r>
      <w:r w:rsidR="00F542D2">
        <w:rPr>
          <w:rFonts w:ascii="Times New Roman" w:hAnsi="Times New Roman" w:cs="Times New Roman"/>
          <w:sz w:val="24"/>
          <w:szCs w:val="24"/>
          <w:lang w:val="en"/>
        </w:rPr>
        <w:t xml:space="preserve"> but </w:t>
      </w:r>
      <w:r w:rsidR="00125498">
        <w:rPr>
          <w:rFonts w:ascii="Times New Roman" w:hAnsi="Times New Roman" w:cs="Times New Roman"/>
          <w:sz w:val="24"/>
          <w:szCs w:val="24"/>
          <w:lang w:val="en"/>
        </w:rPr>
        <w:t>by itself is not a specific diagnostic criterion.</w:t>
      </w:r>
    </w:p>
    <w:p w:rsidR="00125498" w:rsidRDefault="00125498" w:rsidP="00125498">
      <w:pPr>
        <w:spacing w:line="480" w:lineRule="auto"/>
        <w:contextualSpacing/>
        <w:rPr>
          <w:rFonts w:ascii="Times New Roman" w:hAnsi="Times New Roman" w:cs="Times New Roman"/>
          <w:b/>
          <w:sz w:val="24"/>
          <w:szCs w:val="24"/>
          <w:lang w:val="en"/>
        </w:rPr>
      </w:pPr>
      <w:r w:rsidRPr="00125498">
        <w:rPr>
          <w:rFonts w:ascii="Times New Roman" w:hAnsi="Times New Roman" w:cs="Times New Roman"/>
          <w:b/>
          <w:sz w:val="24"/>
          <w:szCs w:val="24"/>
          <w:lang w:val="en"/>
        </w:rPr>
        <w:t>3</w:t>
      </w:r>
      <w:r w:rsidR="00443E0C">
        <w:rPr>
          <w:rFonts w:ascii="Times New Roman" w:hAnsi="Times New Roman" w:cs="Times New Roman"/>
          <w:b/>
          <w:sz w:val="24"/>
          <w:szCs w:val="24"/>
          <w:lang w:val="en"/>
        </w:rPr>
        <w:t xml:space="preserve">. Based on the patient’s symptoms and diagnostic studies, which of the following management strategies is </w:t>
      </w:r>
      <w:r w:rsidR="00443E0C" w:rsidRPr="00443E0C">
        <w:rPr>
          <w:rFonts w:ascii="Times New Roman" w:hAnsi="Times New Roman" w:cs="Times New Roman"/>
          <w:b/>
          <w:sz w:val="24"/>
          <w:szCs w:val="24"/>
          <w:u w:val="single"/>
          <w:lang w:val="en"/>
        </w:rPr>
        <w:t>not</w:t>
      </w:r>
      <w:r w:rsidR="00443E0C">
        <w:rPr>
          <w:rFonts w:ascii="Times New Roman" w:hAnsi="Times New Roman" w:cs="Times New Roman"/>
          <w:b/>
          <w:sz w:val="24"/>
          <w:szCs w:val="24"/>
          <w:lang w:val="en"/>
        </w:rPr>
        <w:t xml:space="preserve"> appropriate?  Provide rationale for your answer and why you eliminated the others.</w:t>
      </w:r>
    </w:p>
    <w:p w:rsidR="00443E0C" w:rsidRPr="00443E0C" w:rsidRDefault="00443E0C" w:rsidP="00443E0C">
      <w:pPr>
        <w:spacing w:line="240" w:lineRule="auto"/>
        <w:contextualSpacing/>
        <w:rPr>
          <w:rFonts w:ascii="Times New Roman" w:hAnsi="Times New Roman" w:cs="Times New Roman"/>
          <w:b/>
          <w:sz w:val="24"/>
          <w:szCs w:val="24"/>
          <w:lang w:val="en"/>
        </w:rPr>
      </w:pPr>
      <w:r w:rsidRPr="00D53365">
        <w:rPr>
          <w:rFonts w:ascii="Times New Roman" w:hAnsi="Times New Roman" w:cs="Times New Roman"/>
          <w:b/>
          <w:sz w:val="24"/>
          <w:szCs w:val="24"/>
          <w:highlight w:val="yellow"/>
          <w:lang w:val="en"/>
        </w:rPr>
        <w:t>A.  Ablation with 131 I</w:t>
      </w:r>
      <w:r w:rsidR="00F542D2" w:rsidRPr="00D53365">
        <w:rPr>
          <w:rFonts w:ascii="Times New Roman" w:hAnsi="Times New Roman" w:cs="Times New Roman"/>
          <w:b/>
          <w:sz w:val="24"/>
          <w:szCs w:val="24"/>
          <w:highlight w:val="yellow"/>
          <w:lang w:val="en"/>
        </w:rPr>
        <w:t xml:space="preserve"> (RAI)</w:t>
      </w:r>
    </w:p>
    <w:p w:rsidR="00443E0C" w:rsidRPr="00443E0C" w:rsidRDefault="00443E0C" w:rsidP="00443E0C">
      <w:pPr>
        <w:spacing w:line="240" w:lineRule="auto"/>
        <w:contextualSpacing/>
        <w:rPr>
          <w:rFonts w:ascii="Times New Roman" w:hAnsi="Times New Roman" w:cs="Times New Roman"/>
          <w:b/>
          <w:sz w:val="24"/>
          <w:szCs w:val="24"/>
          <w:lang w:val="en"/>
        </w:rPr>
      </w:pPr>
      <w:r w:rsidRPr="00443E0C">
        <w:rPr>
          <w:rFonts w:ascii="Times New Roman" w:hAnsi="Times New Roman" w:cs="Times New Roman"/>
          <w:b/>
          <w:sz w:val="24"/>
          <w:szCs w:val="24"/>
          <w:lang w:val="en"/>
        </w:rPr>
        <w:t>B.  Thyroidectomy</w:t>
      </w:r>
    </w:p>
    <w:p w:rsidR="00443E0C" w:rsidRPr="00443E0C" w:rsidRDefault="00443E0C" w:rsidP="00443E0C">
      <w:pPr>
        <w:spacing w:line="240" w:lineRule="auto"/>
        <w:contextualSpacing/>
        <w:rPr>
          <w:rFonts w:ascii="Times New Roman" w:hAnsi="Times New Roman" w:cs="Times New Roman"/>
          <w:b/>
          <w:sz w:val="24"/>
          <w:szCs w:val="24"/>
          <w:lang w:val="en"/>
        </w:rPr>
      </w:pPr>
      <w:r w:rsidRPr="00443E0C">
        <w:rPr>
          <w:rFonts w:ascii="Times New Roman" w:hAnsi="Times New Roman" w:cs="Times New Roman"/>
          <w:b/>
          <w:sz w:val="24"/>
          <w:szCs w:val="24"/>
          <w:lang w:val="en"/>
        </w:rPr>
        <w:t>C.  β – blocker and a thionamide</w:t>
      </w:r>
      <w:r w:rsidR="00AF6DBC">
        <w:rPr>
          <w:rFonts w:ascii="Times New Roman" w:hAnsi="Times New Roman" w:cs="Times New Roman"/>
          <w:b/>
          <w:sz w:val="24"/>
          <w:szCs w:val="24"/>
          <w:lang w:val="en"/>
        </w:rPr>
        <w:t xml:space="preserve"> (</w:t>
      </w:r>
      <w:r w:rsidR="00D53365">
        <w:rPr>
          <w:rFonts w:ascii="Times New Roman" w:hAnsi="Times New Roman" w:cs="Times New Roman"/>
          <w:b/>
          <w:sz w:val="24"/>
          <w:szCs w:val="24"/>
          <w:lang w:val="en"/>
        </w:rPr>
        <w:t>propylthiouracil or methimazole)</w:t>
      </w:r>
    </w:p>
    <w:p w:rsidR="00443E0C" w:rsidRPr="00443E0C" w:rsidRDefault="00443E0C" w:rsidP="00443E0C">
      <w:pPr>
        <w:spacing w:line="240" w:lineRule="auto"/>
        <w:contextualSpacing/>
        <w:rPr>
          <w:rFonts w:ascii="Times New Roman" w:hAnsi="Times New Roman" w:cs="Times New Roman"/>
          <w:b/>
          <w:sz w:val="24"/>
          <w:szCs w:val="24"/>
          <w:lang w:val="en"/>
        </w:rPr>
      </w:pPr>
      <w:r w:rsidRPr="00443E0C">
        <w:rPr>
          <w:rFonts w:ascii="Times New Roman" w:hAnsi="Times New Roman" w:cs="Times New Roman"/>
          <w:b/>
          <w:sz w:val="24"/>
          <w:szCs w:val="24"/>
          <w:lang w:val="en"/>
        </w:rPr>
        <w:t>D.  Lugol solution</w:t>
      </w:r>
    </w:p>
    <w:p w:rsidR="00443E0C" w:rsidRDefault="00443E0C" w:rsidP="00443E0C">
      <w:pPr>
        <w:spacing w:line="240" w:lineRule="auto"/>
        <w:contextualSpacing/>
        <w:rPr>
          <w:rFonts w:ascii="Times New Roman" w:hAnsi="Times New Roman" w:cs="Times New Roman"/>
          <w:b/>
          <w:sz w:val="24"/>
          <w:szCs w:val="24"/>
          <w:lang w:val="en"/>
        </w:rPr>
      </w:pPr>
      <w:r w:rsidRPr="00443E0C">
        <w:rPr>
          <w:rFonts w:ascii="Times New Roman" w:hAnsi="Times New Roman" w:cs="Times New Roman"/>
          <w:b/>
          <w:sz w:val="24"/>
          <w:szCs w:val="24"/>
          <w:lang w:val="en"/>
        </w:rPr>
        <w:t>E.  Corticosteroids</w:t>
      </w:r>
    </w:p>
    <w:p w:rsidR="00443E0C" w:rsidRDefault="00443E0C" w:rsidP="00443E0C">
      <w:pPr>
        <w:spacing w:line="240" w:lineRule="auto"/>
        <w:contextualSpacing/>
        <w:rPr>
          <w:rFonts w:ascii="Times New Roman" w:hAnsi="Times New Roman" w:cs="Times New Roman"/>
          <w:b/>
          <w:sz w:val="24"/>
          <w:szCs w:val="24"/>
          <w:lang w:val="en"/>
        </w:rPr>
      </w:pPr>
    </w:p>
    <w:p w:rsidR="004D758A" w:rsidRDefault="00443E0C" w:rsidP="00125498">
      <w:pPr>
        <w:spacing w:line="480" w:lineRule="auto"/>
        <w:contextualSpacing/>
        <w:rPr>
          <w:rFonts w:ascii="Times New Roman" w:hAnsi="Times New Roman" w:cs="Times New Roman"/>
          <w:sz w:val="24"/>
          <w:szCs w:val="24"/>
          <w:lang w:val="en"/>
        </w:rPr>
      </w:pPr>
      <w:r>
        <w:rPr>
          <w:rFonts w:ascii="Times New Roman" w:hAnsi="Times New Roman" w:cs="Times New Roman"/>
          <w:b/>
          <w:sz w:val="24"/>
          <w:szCs w:val="24"/>
          <w:lang w:val="en"/>
        </w:rPr>
        <w:tab/>
      </w:r>
      <w:r w:rsidR="004D758A">
        <w:rPr>
          <w:rFonts w:ascii="Times New Roman" w:hAnsi="Times New Roman" w:cs="Times New Roman"/>
          <w:sz w:val="24"/>
          <w:szCs w:val="24"/>
          <w:lang w:val="en"/>
        </w:rPr>
        <w:t xml:space="preserve">With further information given in this case study, the patient is definitely experiencing </w:t>
      </w:r>
      <w:r w:rsidR="00D53365" w:rsidRPr="00D53365">
        <w:rPr>
          <w:rFonts w:ascii="Times New Roman" w:hAnsi="Times New Roman" w:cs="Times New Roman"/>
          <w:sz w:val="24"/>
          <w:szCs w:val="24"/>
          <w:lang w:val="en"/>
        </w:rPr>
        <w:t>thyroid storm; this is a medical emergency and requires immediate intervention.</w:t>
      </w:r>
      <w:r w:rsidR="00F76C9A">
        <w:rPr>
          <w:rFonts w:ascii="Times New Roman" w:hAnsi="Times New Roman" w:cs="Times New Roman"/>
          <w:sz w:val="24"/>
          <w:szCs w:val="24"/>
          <w:lang w:val="en"/>
        </w:rPr>
        <w:t xml:space="preserve">  The treatment of thyroid storm is a multi-drug approach that is aimed at multiple target areas.  The first area is stopping synthesis of new hormones within the thyroid gland.  The next area is to stop the release of the stored</w:t>
      </w:r>
      <w:r w:rsidR="003E0B3B">
        <w:rPr>
          <w:rFonts w:ascii="Times New Roman" w:hAnsi="Times New Roman" w:cs="Times New Roman"/>
          <w:sz w:val="24"/>
          <w:szCs w:val="24"/>
          <w:lang w:val="en"/>
        </w:rPr>
        <w:t xml:space="preserve"> thyroid hormones from the thyroid gland.  Preventing the conversion of T 4 to T 3, controlling the adrenergic symptoms that are associated with thyroid storm, and also controlling systemic decomposition with supportive therapies (Nayak &amp; Burman, 2006).</w:t>
      </w:r>
    </w:p>
    <w:p w:rsidR="00A42059" w:rsidRDefault="003E0B3B" w:rsidP="004D758A">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ab/>
        <w:t xml:space="preserve">Answer </w:t>
      </w:r>
      <w:r w:rsidR="004D758A">
        <w:rPr>
          <w:rFonts w:ascii="Times New Roman" w:hAnsi="Times New Roman" w:cs="Times New Roman"/>
          <w:sz w:val="24"/>
          <w:szCs w:val="24"/>
          <w:lang w:val="en"/>
        </w:rPr>
        <w:t>A</w:t>
      </w:r>
      <w:r>
        <w:rPr>
          <w:rFonts w:ascii="Times New Roman" w:hAnsi="Times New Roman" w:cs="Times New Roman"/>
          <w:sz w:val="24"/>
          <w:szCs w:val="24"/>
          <w:lang w:val="en"/>
        </w:rPr>
        <w:t>, ablation with 131 I</w:t>
      </w:r>
      <w:r w:rsidR="004D758A">
        <w:rPr>
          <w:rFonts w:ascii="Times New Roman" w:hAnsi="Times New Roman" w:cs="Times New Roman"/>
          <w:sz w:val="24"/>
          <w:szCs w:val="24"/>
          <w:lang w:val="en"/>
        </w:rPr>
        <w:t xml:space="preserve"> is the correct answer for this question and is not an appropriate treatment for this patient.  The patient’s recent treatment with RAI is a likely cause of her given condition.  </w:t>
      </w:r>
      <w:r w:rsidR="00F15072">
        <w:rPr>
          <w:rFonts w:ascii="Times New Roman" w:hAnsi="Times New Roman" w:cs="Times New Roman"/>
          <w:sz w:val="24"/>
          <w:szCs w:val="24"/>
          <w:lang w:val="en"/>
        </w:rPr>
        <w:t xml:space="preserve">Due to the patient’s signs and symptoms and her thyrotoxicosis she should not receive RAI.  When this medication is given, it is taken up into the thyroid gland and causes destruction of the thyroid tissue.  As an initial reaction, the thyroid tissue releases further </w:t>
      </w:r>
      <w:r w:rsidR="00F15072">
        <w:rPr>
          <w:rFonts w:ascii="Times New Roman" w:hAnsi="Times New Roman" w:cs="Times New Roman"/>
          <w:sz w:val="24"/>
          <w:szCs w:val="24"/>
          <w:lang w:val="en"/>
        </w:rPr>
        <w:lastRenderedPageBreak/>
        <w:t>T4 and T3 that will cause further thyrotoxicosis and worsening of the patient’s thyroid storm.  Other absolute contraindications for RAI treatment includes</w:t>
      </w:r>
      <w:r w:rsidR="00E0282D">
        <w:rPr>
          <w:rFonts w:ascii="Times New Roman" w:hAnsi="Times New Roman" w:cs="Times New Roman"/>
          <w:sz w:val="24"/>
          <w:szCs w:val="24"/>
          <w:lang w:val="en"/>
        </w:rPr>
        <w:t xml:space="preserve"> pregnancy, lactation, females that plan to become pregnant within the next four to six months, patients with coexisting thyroid cancer, and patients that would be unable to comply with radiation safety guidelines (Bahn et al.,2011).</w:t>
      </w:r>
    </w:p>
    <w:p w:rsidR="0005168F" w:rsidRDefault="00E0282D" w:rsidP="00C5133E">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 thyroidectomy is an appropriate intervention for this patient but is not considered the first line treatment.  </w:t>
      </w:r>
      <w:r w:rsidR="00E26EBA">
        <w:rPr>
          <w:rFonts w:ascii="Times New Roman" w:hAnsi="Times New Roman" w:cs="Times New Roman"/>
          <w:sz w:val="24"/>
          <w:szCs w:val="24"/>
        </w:rPr>
        <w:t>Thyroidectomies</w:t>
      </w:r>
      <w:r>
        <w:rPr>
          <w:rFonts w:ascii="Times New Roman" w:hAnsi="Times New Roman" w:cs="Times New Roman"/>
          <w:sz w:val="24"/>
          <w:szCs w:val="24"/>
        </w:rPr>
        <w:t xml:space="preserve"> are </w:t>
      </w:r>
      <w:r w:rsidR="00D7137E">
        <w:rPr>
          <w:rFonts w:ascii="Times New Roman" w:hAnsi="Times New Roman" w:cs="Times New Roman"/>
          <w:sz w:val="24"/>
          <w:szCs w:val="24"/>
        </w:rPr>
        <w:t xml:space="preserve">usually </w:t>
      </w:r>
      <w:r>
        <w:rPr>
          <w:rFonts w:ascii="Times New Roman" w:hAnsi="Times New Roman" w:cs="Times New Roman"/>
          <w:sz w:val="24"/>
          <w:szCs w:val="24"/>
        </w:rPr>
        <w:t>considered when patients are unable to take a</w:t>
      </w:r>
      <w:r w:rsidR="00E26EBA">
        <w:rPr>
          <w:rFonts w:ascii="Times New Roman" w:hAnsi="Times New Roman" w:cs="Times New Roman"/>
          <w:sz w:val="24"/>
          <w:szCs w:val="24"/>
        </w:rPr>
        <w:t xml:space="preserve"> thionamide medication due to side effects.  Side effects to</w:t>
      </w:r>
      <w:r w:rsidR="00B471A0">
        <w:rPr>
          <w:rFonts w:ascii="Times New Roman" w:hAnsi="Times New Roman" w:cs="Times New Roman"/>
          <w:sz w:val="24"/>
          <w:szCs w:val="24"/>
        </w:rPr>
        <w:t xml:space="preserve"> thionamides are rare but include agranulocytosis, hepatotoxicity, and allergic reactions.  In this situation a thyroidectomy is the treatment of choice.  Patients that are to undergo a thyroidectomy first must have their thyrotoxicosis managed preoperatively.</w:t>
      </w:r>
      <w:r w:rsidR="00D7137E">
        <w:rPr>
          <w:rFonts w:ascii="Times New Roman" w:hAnsi="Times New Roman" w:cs="Times New Roman"/>
          <w:sz w:val="24"/>
          <w:szCs w:val="24"/>
        </w:rPr>
        <w:t xml:space="preserve">  Patients</w:t>
      </w:r>
      <w:r w:rsidR="00C5133E">
        <w:rPr>
          <w:rFonts w:ascii="Times New Roman" w:hAnsi="Times New Roman" w:cs="Times New Roman"/>
          <w:sz w:val="24"/>
          <w:szCs w:val="24"/>
        </w:rPr>
        <w:t xml:space="preserve"> that have overt thyrotoxicosis</w:t>
      </w:r>
      <w:r w:rsidR="00D7137E">
        <w:rPr>
          <w:rFonts w:ascii="Times New Roman" w:hAnsi="Times New Roman" w:cs="Times New Roman"/>
          <w:sz w:val="24"/>
          <w:szCs w:val="24"/>
        </w:rPr>
        <w:t>,</w:t>
      </w:r>
      <w:r w:rsidR="00C5133E">
        <w:rPr>
          <w:rFonts w:ascii="Times New Roman" w:hAnsi="Times New Roman" w:cs="Times New Roman"/>
          <w:sz w:val="24"/>
          <w:szCs w:val="24"/>
        </w:rPr>
        <w:t xml:space="preserve"> and do not want to take </w:t>
      </w:r>
      <w:r w:rsidR="00D7137E">
        <w:rPr>
          <w:rFonts w:ascii="Times New Roman" w:hAnsi="Times New Roman" w:cs="Times New Roman"/>
          <w:sz w:val="24"/>
          <w:szCs w:val="24"/>
        </w:rPr>
        <w:t>the medications</w:t>
      </w:r>
      <w:r w:rsidR="00C5133E">
        <w:rPr>
          <w:rFonts w:ascii="Times New Roman" w:hAnsi="Times New Roman" w:cs="Times New Roman"/>
          <w:sz w:val="24"/>
          <w:szCs w:val="24"/>
        </w:rPr>
        <w:t xml:space="preserve"> or received treatment </w:t>
      </w:r>
      <w:r w:rsidR="00D7137E">
        <w:rPr>
          <w:rFonts w:ascii="Times New Roman" w:hAnsi="Times New Roman" w:cs="Times New Roman"/>
          <w:sz w:val="24"/>
          <w:szCs w:val="24"/>
        </w:rPr>
        <w:t xml:space="preserve">with RAI, may choose to have a thyroidectomy as well.  </w:t>
      </w:r>
      <w:r w:rsidR="00B471A0">
        <w:rPr>
          <w:rFonts w:ascii="Times New Roman" w:hAnsi="Times New Roman" w:cs="Times New Roman"/>
          <w:sz w:val="24"/>
          <w:szCs w:val="24"/>
        </w:rPr>
        <w:t>The typical preoperative treatment for these patients includes beta blockers, glucocorticoids, iodine, and medications for hyper pyrexia.  These medications are given for up to 5 to 7 days or until the patient becomes stable enough to undergo the surgery.</w:t>
      </w:r>
      <w:r w:rsidR="00D7137E">
        <w:rPr>
          <w:rFonts w:ascii="Times New Roman" w:hAnsi="Times New Roman" w:cs="Times New Roman"/>
          <w:sz w:val="24"/>
          <w:szCs w:val="24"/>
        </w:rPr>
        <w:t xml:space="preserve">  A delay of the surgery for more than 8 to 10 days should not be done due to the phenomena called escape from the Wolff – Chaikoff effect (Ross, 2013).</w:t>
      </w:r>
    </w:p>
    <w:p w:rsidR="00F45D39" w:rsidRDefault="00D7137E" w:rsidP="00E26EBA">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rPr>
        <w:tab/>
      </w:r>
      <w:r w:rsidR="00C5133E">
        <w:rPr>
          <w:rFonts w:ascii="Times New Roman" w:hAnsi="Times New Roman" w:cs="Times New Roman"/>
          <w:sz w:val="24"/>
          <w:szCs w:val="24"/>
        </w:rPr>
        <w:t>Answers C, D, and E are all recommended medications for the treatment of thyroid storm unless contraindicated for the patient.</w:t>
      </w:r>
      <w:r w:rsidR="00C5133E" w:rsidRPr="00C5133E">
        <w:rPr>
          <w:rFonts w:ascii="Times New Roman" w:hAnsi="Times New Roman" w:cs="Times New Roman"/>
          <w:b/>
          <w:sz w:val="24"/>
          <w:szCs w:val="24"/>
          <w:lang w:val="en"/>
        </w:rPr>
        <w:t xml:space="preserve"> </w:t>
      </w:r>
      <w:r w:rsidR="00C5133E">
        <w:rPr>
          <w:rFonts w:ascii="Times New Roman" w:hAnsi="Times New Roman" w:cs="Times New Roman"/>
          <w:b/>
          <w:sz w:val="24"/>
          <w:szCs w:val="24"/>
          <w:lang w:val="en"/>
        </w:rPr>
        <w:t xml:space="preserve"> </w:t>
      </w:r>
      <w:r w:rsidR="00C5133E" w:rsidRPr="00C5133E">
        <w:rPr>
          <w:rFonts w:ascii="Times New Roman" w:hAnsi="Times New Roman" w:cs="Times New Roman"/>
          <w:sz w:val="24"/>
          <w:szCs w:val="24"/>
          <w:lang w:val="en"/>
        </w:rPr>
        <w:t>Propylthiouracil and methimazole</w:t>
      </w:r>
      <w:r w:rsidR="00914A71">
        <w:rPr>
          <w:rFonts w:ascii="Times New Roman" w:hAnsi="Times New Roman" w:cs="Times New Roman"/>
          <w:sz w:val="24"/>
          <w:szCs w:val="24"/>
          <w:lang w:val="en"/>
        </w:rPr>
        <w:t xml:space="preserve"> are first line drug therapy for thyroid storm.  Propylthiouracil is preferred over methimazole due to its ability to inhibit new hormones synthesis, as well as decreased T4 to T3 conversion where methimazole only inhibits new hormones synthesis.  These medications should be the first given along with a beta-adrenergic blockade.  </w:t>
      </w:r>
      <w:r w:rsidR="0005073B">
        <w:rPr>
          <w:rFonts w:ascii="Times New Roman" w:hAnsi="Times New Roman" w:cs="Times New Roman"/>
          <w:sz w:val="24"/>
          <w:szCs w:val="24"/>
          <w:lang w:val="en"/>
        </w:rPr>
        <w:t>Propranolol</w:t>
      </w:r>
      <w:r w:rsidR="00914A71">
        <w:rPr>
          <w:rFonts w:ascii="Times New Roman" w:hAnsi="Times New Roman" w:cs="Times New Roman"/>
          <w:sz w:val="24"/>
          <w:szCs w:val="24"/>
          <w:lang w:val="en"/>
        </w:rPr>
        <w:t xml:space="preserve"> is the beta blocker of choice due to its ability to decreased </w:t>
      </w:r>
      <w:r w:rsidR="00914A71">
        <w:rPr>
          <w:rFonts w:ascii="Times New Roman" w:hAnsi="Times New Roman" w:cs="Times New Roman"/>
          <w:sz w:val="24"/>
          <w:szCs w:val="24"/>
          <w:lang w:val="en"/>
        </w:rPr>
        <w:lastRenderedPageBreak/>
        <w:t>T4 to T3 conversion as well as the benefits of decreasing the heart rate from its beta-adrenergic effects.  Other beta blockers include atenolol, metoprolol, and nadolol, as well as esmolol</w:t>
      </w:r>
      <w:bookmarkStart w:id="0" w:name="_GoBack"/>
      <w:bookmarkEnd w:id="0"/>
      <w:r w:rsidR="00914A71">
        <w:rPr>
          <w:rFonts w:ascii="Times New Roman" w:hAnsi="Times New Roman" w:cs="Times New Roman"/>
          <w:sz w:val="24"/>
          <w:szCs w:val="24"/>
          <w:lang w:val="en"/>
        </w:rPr>
        <w:t>.  When a cardio selective agent is preferred atenolol is recommended.  Esmolol is preferred when oral agents are contraindicated and should also be considered for use in heart failure patients (</w:t>
      </w:r>
      <w:r w:rsidR="00F45D39">
        <w:rPr>
          <w:rFonts w:ascii="Times New Roman" w:hAnsi="Times New Roman" w:cs="Times New Roman"/>
          <w:sz w:val="24"/>
          <w:szCs w:val="24"/>
          <w:lang w:val="en"/>
        </w:rPr>
        <w:t xml:space="preserve">Bahn et al., 2011; </w:t>
      </w:r>
      <w:r w:rsidR="00914A71">
        <w:rPr>
          <w:rFonts w:ascii="Times New Roman" w:hAnsi="Times New Roman" w:cs="Times New Roman"/>
          <w:sz w:val="24"/>
          <w:szCs w:val="24"/>
          <w:lang w:val="en"/>
        </w:rPr>
        <w:t>Nayak &amp; Burman, 2006).</w:t>
      </w:r>
    </w:p>
    <w:p w:rsidR="000602DF" w:rsidRDefault="008D1B30" w:rsidP="000602DF">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ab/>
        <w:t xml:space="preserve">Lugol solution is a saturated solution of potassium iodine that is used in combination with the anti-thyroid drugs and beta blockers.  It is important to note that Lugol solution should not be started until one hour after receiving anti-thyroid drugs.  Five drops (0.25 mL or 250 mg) orally should be given every six hours at least one hour after the anti-thyroid drugs have been received.  This medication helps to block new hormones synthesis as well as blocks thyroid hormone </w:t>
      </w:r>
      <w:r w:rsidR="0068280B">
        <w:rPr>
          <w:rFonts w:ascii="Times New Roman" w:hAnsi="Times New Roman" w:cs="Times New Roman"/>
          <w:sz w:val="24"/>
          <w:szCs w:val="24"/>
          <w:lang w:val="en"/>
        </w:rPr>
        <w:t>release.  Corticosteroids are also given to help block T4 to T3 conversion and also give</w:t>
      </w:r>
      <w:r>
        <w:rPr>
          <w:rFonts w:ascii="Times New Roman" w:hAnsi="Times New Roman" w:cs="Times New Roman"/>
          <w:sz w:val="24"/>
          <w:szCs w:val="24"/>
          <w:lang w:val="en"/>
        </w:rPr>
        <w:t xml:space="preserve"> prophylaxis against relative adrenal insufficiency.  Hydrocortisone is the most commonly use</w:t>
      </w:r>
      <w:r w:rsidR="007815E9">
        <w:rPr>
          <w:rFonts w:ascii="Times New Roman" w:hAnsi="Times New Roman" w:cs="Times New Roman"/>
          <w:sz w:val="24"/>
          <w:szCs w:val="24"/>
          <w:lang w:val="en"/>
        </w:rPr>
        <w:t>d</w:t>
      </w:r>
      <w:r>
        <w:rPr>
          <w:rFonts w:ascii="Times New Roman" w:hAnsi="Times New Roman" w:cs="Times New Roman"/>
          <w:sz w:val="24"/>
          <w:szCs w:val="24"/>
          <w:lang w:val="en"/>
        </w:rPr>
        <w:t xml:space="preserve"> corticosteroid in this situation.  It is given intravenously, </w:t>
      </w:r>
      <w:r w:rsidR="0068280B">
        <w:rPr>
          <w:rFonts w:ascii="Times New Roman" w:hAnsi="Times New Roman" w:cs="Times New Roman"/>
          <w:sz w:val="24"/>
          <w:szCs w:val="24"/>
          <w:lang w:val="en"/>
        </w:rPr>
        <w:t xml:space="preserve">a </w:t>
      </w:r>
      <w:r>
        <w:rPr>
          <w:rFonts w:ascii="Times New Roman" w:hAnsi="Times New Roman" w:cs="Times New Roman"/>
          <w:sz w:val="24"/>
          <w:szCs w:val="24"/>
          <w:lang w:val="en"/>
        </w:rPr>
        <w:t xml:space="preserve">300 mg loading dose </w:t>
      </w:r>
      <w:r w:rsidR="0068280B">
        <w:rPr>
          <w:rFonts w:ascii="Times New Roman" w:hAnsi="Times New Roman" w:cs="Times New Roman"/>
          <w:sz w:val="24"/>
          <w:szCs w:val="24"/>
          <w:lang w:val="en"/>
        </w:rPr>
        <w:t xml:space="preserve">is given followed by </w:t>
      </w:r>
      <w:r>
        <w:rPr>
          <w:rFonts w:ascii="Times New Roman" w:hAnsi="Times New Roman" w:cs="Times New Roman"/>
          <w:sz w:val="24"/>
          <w:szCs w:val="24"/>
          <w:lang w:val="en"/>
        </w:rPr>
        <w:t xml:space="preserve">100 mg every eight hours is the general course of treatment with corticosteroids.  An alternate drug choice for corticosteroids </w:t>
      </w:r>
      <w:r w:rsidR="007815E9">
        <w:rPr>
          <w:rFonts w:ascii="Times New Roman" w:hAnsi="Times New Roman" w:cs="Times New Roman"/>
          <w:sz w:val="24"/>
          <w:szCs w:val="24"/>
          <w:lang w:val="en"/>
        </w:rPr>
        <w:t xml:space="preserve">is </w:t>
      </w:r>
      <w:r>
        <w:rPr>
          <w:rFonts w:ascii="Times New Roman" w:hAnsi="Times New Roman" w:cs="Times New Roman"/>
          <w:sz w:val="24"/>
          <w:szCs w:val="24"/>
          <w:lang w:val="en"/>
        </w:rPr>
        <w:t>dexamethasone (Bahn et al.,  2011).</w:t>
      </w:r>
    </w:p>
    <w:p w:rsidR="000602DF" w:rsidRDefault="000602DF" w:rsidP="000602DF">
      <w:pPr>
        <w:spacing w:line="480" w:lineRule="auto"/>
        <w:contextualSpacing/>
        <w:rPr>
          <w:rFonts w:ascii="Times New Roman" w:hAnsi="Times New Roman" w:cs="Times New Roman"/>
          <w:sz w:val="24"/>
          <w:szCs w:val="24"/>
          <w:lang w:val="en"/>
        </w:rPr>
      </w:pPr>
    </w:p>
    <w:p w:rsidR="000602DF" w:rsidRDefault="000602DF" w:rsidP="000602DF">
      <w:pPr>
        <w:spacing w:line="480" w:lineRule="auto"/>
        <w:contextualSpacing/>
        <w:rPr>
          <w:rFonts w:ascii="Times New Roman" w:hAnsi="Times New Roman" w:cs="Times New Roman"/>
          <w:sz w:val="24"/>
          <w:szCs w:val="24"/>
          <w:lang w:val="en"/>
        </w:rPr>
      </w:pPr>
    </w:p>
    <w:p w:rsidR="000602DF" w:rsidRDefault="000602DF" w:rsidP="000602DF">
      <w:pPr>
        <w:spacing w:line="480" w:lineRule="auto"/>
        <w:contextualSpacing/>
        <w:rPr>
          <w:rFonts w:ascii="Times New Roman" w:hAnsi="Times New Roman" w:cs="Times New Roman"/>
          <w:sz w:val="24"/>
          <w:szCs w:val="24"/>
          <w:lang w:val="en"/>
        </w:rPr>
      </w:pPr>
    </w:p>
    <w:p w:rsidR="000602DF" w:rsidRDefault="000602DF" w:rsidP="000602DF">
      <w:pPr>
        <w:spacing w:line="480" w:lineRule="auto"/>
        <w:contextualSpacing/>
        <w:rPr>
          <w:rFonts w:ascii="Times New Roman" w:hAnsi="Times New Roman" w:cs="Times New Roman"/>
          <w:sz w:val="24"/>
          <w:szCs w:val="24"/>
          <w:lang w:val="en"/>
        </w:rPr>
      </w:pPr>
    </w:p>
    <w:p w:rsidR="000602DF" w:rsidRDefault="000602DF" w:rsidP="000602DF">
      <w:pPr>
        <w:spacing w:line="480" w:lineRule="auto"/>
        <w:contextualSpacing/>
        <w:rPr>
          <w:rFonts w:ascii="Times New Roman" w:hAnsi="Times New Roman" w:cs="Times New Roman"/>
          <w:sz w:val="24"/>
          <w:szCs w:val="24"/>
          <w:lang w:val="en"/>
        </w:rPr>
      </w:pPr>
    </w:p>
    <w:p w:rsidR="000602DF" w:rsidRDefault="000602DF" w:rsidP="000602DF">
      <w:pPr>
        <w:spacing w:line="480" w:lineRule="auto"/>
        <w:contextualSpacing/>
        <w:rPr>
          <w:rFonts w:ascii="Times New Roman" w:hAnsi="Times New Roman" w:cs="Times New Roman"/>
          <w:sz w:val="24"/>
          <w:szCs w:val="24"/>
          <w:lang w:val="en"/>
        </w:rPr>
      </w:pPr>
    </w:p>
    <w:p w:rsidR="007815E9" w:rsidRDefault="007815E9" w:rsidP="000602DF">
      <w:pPr>
        <w:spacing w:line="480" w:lineRule="auto"/>
        <w:contextualSpacing/>
        <w:rPr>
          <w:rFonts w:ascii="Times New Roman" w:hAnsi="Times New Roman" w:cs="Times New Roman"/>
          <w:sz w:val="24"/>
          <w:szCs w:val="24"/>
          <w:lang w:val="en"/>
        </w:rPr>
      </w:pPr>
    </w:p>
    <w:p w:rsidR="00DC27FB" w:rsidRPr="000602DF" w:rsidRDefault="00DC27FB" w:rsidP="000602DF">
      <w:pPr>
        <w:spacing w:line="480" w:lineRule="auto"/>
        <w:contextualSpacing/>
        <w:rPr>
          <w:rFonts w:ascii="Times New Roman" w:hAnsi="Times New Roman" w:cs="Times New Roman"/>
          <w:sz w:val="24"/>
          <w:szCs w:val="24"/>
          <w:lang w:val="en"/>
        </w:rPr>
      </w:pPr>
    </w:p>
    <w:p w:rsidR="00595C2B" w:rsidRDefault="00595C2B" w:rsidP="00595C2B">
      <w:pPr>
        <w:spacing w:line="480" w:lineRule="auto"/>
        <w:contextualSpacing/>
        <w:jc w:val="center"/>
        <w:rPr>
          <w:rFonts w:ascii="Times New Roman" w:hAnsi="Times New Roman" w:cs="Times New Roman"/>
          <w:b/>
          <w:sz w:val="24"/>
          <w:szCs w:val="24"/>
          <w:lang w:val="en"/>
        </w:rPr>
      </w:pPr>
      <w:r w:rsidRPr="00595C2B">
        <w:rPr>
          <w:rFonts w:ascii="Times New Roman" w:hAnsi="Times New Roman" w:cs="Times New Roman"/>
          <w:b/>
          <w:sz w:val="24"/>
          <w:szCs w:val="24"/>
          <w:lang w:val="en"/>
        </w:rPr>
        <w:lastRenderedPageBreak/>
        <w:t>Case Study</w:t>
      </w:r>
      <w:r>
        <w:rPr>
          <w:rFonts w:ascii="Times New Roman" w:hAnsi="Times New Roman" w:cs="Times New Roman"/>
          <w:b/>
          <w:sz w:val="24"/>
          <w:szCs w:val="24"/>
          <w:lang w:val="en"/>
        </w:rPr>
        <w:t xml:space="preserve"> Two</w:t>
      </w:r>
    </w:p>
    <w:p w:rsidR="00595C2B" w:rsidRDefault="00595C2B" w:rsidP="00595C2B">
      <w:pPr>
        <w:spacing w:line="480" w:lineRule="auto"/>
        <w:contextualSpacing/>
        <w:rPr>
          <w:rFonts w:ascii="Times New Roman" w:hAnsi="Times New Roman" w:cs="Times New Roman"/>
          <w:b/>
          <w:sz w:val="24"/>
          <w:szCs w:val="24"/>
          <w:lang w:val="en"/>
        </w:rPr>
      </w:pPr>
      <w:r w:rsidRPr="00595C2B">
        <w:rPr>
          <w:rFonts w:ascii="Times New Roman" w:hAnsi="Times New Roman" w:cs="Times New Roman"/>
          <w:b/>
          <w:sz w:val="24"/>
          <w:szCs w:val="24"/>
          <w:lang w:val="en"/>
        </w:rPr>
        <w:t>1.  What is the most appropriate next step in this patient’s diagnostic evaluations?</w:t>
      </w:r>
      <w:r>
        <w:rPr>
          <w:rFonts w:ascii="Times New Roman" w:hAnsi="Times New Roman" w:cs="Times New Roman"/>
          <w:sz w:val="24"/>
          <w:szCs w:val="24"/>
          <w:lang w:val="en"/>
        </w:rPr>
        <w:t xml:space="preserve">  </w:t>
      </w:r>
      <w:r w:rsidRPr="00595C2B">
        <w:rPr>
          <w:rFonts w:ascii="Times New Roman" w:hAnsi="Times New Roman" w:cs="Times New Roman"/>
          <w:b/>
          <w:sz w:val="24"/>
          <w:szCs w:val="24"/>
          <w:lang w:val="en"/>
        </w:rPr>
        <w:t>Provide rationale for your answer.</w:t>
      </w:r>
    </w:p>
    <w:p w:rsidR="00595C2B" w:rsidRDefault="00595C2B" w:rsidP="00595C2B">
      <w:pPr>
        <w:spacing w:line="240" w:lineRule="auto"/>
        <w:contextualSpacing/>
        <w:rPr>
          <w:rFonts w:ascii="Times New Roman" w:hAnsi="Times New Roman" w:cs="Times New Roman"/>
          <w:b/>
          <w:sz w:val="24"/>
          <w:szCs w:val="24"/>
          <w:lang w:val="en"/>
        </w:rPr>
      </w:pPr>
      <w:r>
        <w:rPr>
          <w:rFonts w:ascii="Times New Roman" w:hAnsi="Times New Roman" w:cs="Times New Roman"/>
          <w:b/>
          <w:sz w:val="24"/>
          <w:szCs w:val="24"/>
          <w:lang w:val="en"/>
        </w:rPr>
        <w:t>A.  Contrast – enhanced CT scan of the brain</w:t>
      </w:r>
    </w:p>
    <w:p w:rsidR="00595C2B" w:rsidRDefault="00595C2B" w:rsidP="00595C2B">
      <w:pPr>
        <w:spacing w:line="240" w:lineRule="auto"/>
        <w:contextualSpacing/>
        <w:rPr>
          <w:rFonts w:ascii="Times New Roman" w:hAnsi="Times New Roman" w:cs="Times New Roman"/>
          <w:b/>
          <w:sz w:val="24"/>
          <w:szCs w:val="24"/>
          <w:lang w:val="en"/>
        </w:rPr>
      </w:pPr>
      <w:r>
        <w:rPr>
          <w:rFonts w:ascii="Times New Roman" w:hAnsi="Times New Roman" w:cs="Times New Roman"/>
          <w:b/>
          <w:sz w:val="24"/>
          <w:szCs w:val="24"/>
          <w:lang w:val="en"/>
        </w:rPr>
        <w:t>B.  Magnetic resistant imaging (MRI) of the brain</w:t>
      </w:r>
    </w:p>
    <w:p w:rsidR="00595C2B" w:rsidRDefault="00595C2B" w:rsidP="00595C2B">
      <w:pPr>
        <w:spacing w:line="240" w:lineRule="auto"/>
        <w:contextualSpacing/>
        <w:rPr>
          <w:rFonts w:ascii="Times New Roman" w:hAnsi="Times New Roman" w:cs="Times New Roman"/>
          <w:b/>
          <w:sz w:val="24"/>
          <w:szCs w:val="24"/>
          <w:lang w:val="en"/>
        </w:rPr>
      </w:pPr>
      <w:r w:rsidRPr="00831160">
        <w:rPr>
          <w:rFonts w:ascii="Times New Roman" w:hAnsi="Times New Roman" w:cs="Times New Roman"/>
          <w:b/>
          <w:sz w:val="24"/>
          <w:szCs w:val="24"/>
          <w:highlight w:val="yellow"/>
          <w:lang w:val="en"/>
        </w:rPr>
        <w:t>C.  Lumbar puncture (LP) w</w:t>
      </w:r>
      <w:r w:rsidR="007815E9">
        <w:rPr>
          <w:rFonts w:ascii="Times New Roman" w:hAnsi="Times New Roman" w:cs="Times New Roman"/>
          <w:b/>
          <w:sz w:val="24"/>
          <w:szCs w:val="24"/>
          <w:highlight w:val="yellow"/>
          <w:lang w:val="en"/>
        </w:rPr>
        <w:t>ith</w:t>
      </w:r>
      <w:r w:rsidRPr="00831160">
        <w:rPr>
          <w:rFonts w:ascii="Times New Roman" w:hAnsi="Times New Roman" w:cs="Times New Roman"/>
          <w:b/>
          <w:sz w:val="24"/>
          <w:szCs w:val="24"/>
          <w:highlight w:val="yellow"/>
          <w:lang w:val="en"/>
        </w:rPr>
        <w:t xml:space="preserve"> cerebral spinal fluid (CSF) analysis</w:t>
      </w:r>
    </w:p>
    <w:p w:rsidR="00595C2B" w:rsidRDefault="00595C2B" w:rsidP="00595C2B">
      <w:pPr>
        <w:spacing w:line="240" w:lineRule="auto"/>
        <w:contextualSpacing/>
        <w:rPr>
          <w:rFonts w:ascii="Times New Roman" w:hAnsi="Times New Roman" w:cs="Times New Roman"/>
          <w:b/>
          <w:sz w:val="24"/>
          <w:szCs w:val="24"/>
          <w:lang w:val="en"/>
        </w:rPr>
      </w:pPr>
      <w:r>
        <w:rPr>
          <w:rFonts w:ascii="Times New Roman" w:hAnsi="Times New Roman" w:cs="Times New Roman"/>
          <w:b/>
          <w:sz w:val="24"/>
          <w:szCs w:val="24"/>
          <w:lang w:val="en"/>
        </w:rPr>
        <w:t>D.  Electroencephalogram</w:t>
      </w:r>
    </w:p>
    <w:p w:rsidR="0068280B" w:rsidRPr="00595C2B" w:rsidRDefault="00595C2B" w:rsidP="00595C2B">
      <w:pPr>
        <w:spacing w:line="240" w:lineRule="auto"/>
        <w:contextualSpacing/>
        <w:rPr>
          <w:rFonts w:ascii="Times New Roman" w:hAnsi="Times New Roman" w:cs="Times New Roman"/>
          <w:b/>
          <w:sz w:val="24"/>
          <w:szCs w:val="24"/>
          <w:lang w:val="en"/>
        </w:rPr>
      </w:pPr>
      <w:r>
        <w:rPr>
          <w:rFonts w:ascii="Times New Roman" w:hAnsi="Times New Roman" w:cs="Times New Roman"/>
          <w:b/>
          <w:sz w:val="24"/>
          <w:szCs w:val="24"/>
          <w:lang w:val="en"/>
        </w:rPr>
        <w:t>E.  No further diagnostic testing</w:t>
      </w:r>
    </w:p>
    <w:p w:rsidR="00831160" w:rsidRDefault="00831160" w:rsidP="00831160">
      <w:pPr>
        <w:spacing w:line="240" w:lineRule="auto"/>
        <w:contextualSpacing/>
        <w:rPr>
          <w:rFonts w:ascii="Times New Roman" w:hAnsi="Times New Roman" w:cs="Times New Roman"/>
          <w:sz w:val="24"/>
          <w:szCs w:val="24"/>
          <w:lang w:val="en"/>
        </w:rPr>
      </w:pPr>
    </w:p>
    <w:p w:rsidR="00245E7C" w:rsidRDefault="00831160" w:rsidP="00E95EA3">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ab/>
      </w:r>
      <w:r w:rsidR="00D53303">
        <w:rPr>
          <w:rFonts w:ascii="Times New Roman" w:hAnsi="Times New Roman" w:cs="Times New Roman"/>
          <w:sz w:val="24"/>
          <w:szCs w:val="24"/>
          <w:lang w:val="en"/>
        </w:rPr>
        <w:t xml:space="preserve">The patient in this case study is displaying symptoms of a central nervous system (CNS) infection.  As discussed in the answer to the first question of the first case study, a patient presenting with fever, confusion, </w:t>
      </w:r>
      <w:r w:rsidR="004C340B">
        <w:rPr>
          <w:rFonts w:ascii="Times New Roman" w:hAnsi="Times New Roman" w:cs="Times New Roman"/>
          <w:sz w:val="24"/>
          <w:szCs w:val="24"/>
          <w:lang w:val="en"/>
        </w:rPr>
        <w:t xml:space="preserve">headache, </w:t>
      </w:r>
      <w:r w:rsidR="00D53303">
        <w:rPr>
          <w:rFonts w:ascii="Times New Roman" w:hAnsi="Times New Roman" w:cs="Times New Roman"/>
          <w:sz w:val="24"/>
          <w:szCs w:val="24"/>
          <w:lang w:val="en"/>
        </w:rPr>
        <w:t>and nuchal rigidity should be highly suspicious of possible meningitis.</w:t>
      </w:r>
      <w:r w:rsidR="004C340B">
        <w:rPr>
          <w:rFonts w:ascii="Times New Roman" w:hAnsi="Times New Roman" w:cs="Times New Roman"/>
          <w:sz w:val="24"/>
          <w:szCs w:val="24"/>
          <w:lang w:val="en"/>
        </w:rPr>
        <w:t xml:space="preserve">  There is 95% sensitivity for adults with bacterial meningitis that have two</w:t>
      </w:r>
      <w:r w:rsidR="00011C1C">
        <w:rPr>
          <w:rFonts w:ascii="Times New Roman" w:hAnsi="Times New Roman" w:cs="Times New Roman"/>
          <w:sz w:val="24"/>
          <w:szCs w:val="24"/>
          <w:lang w:val="en"/>
        </w:rPr>
        <w:t xml:space="preserve"> or more</w:t>
      </w:r>
      <w:r w:rsidR="004C340B">
        <w:rPr>
          <w:rFonts w:ascii="Times New Roman" w:hAnsi="Times New Roman" w:cs="Times New Roman"/>
          <w:sz w:val="24"/>
          <w:szCs w:val="24"/>
          <w:lang w:val="en"/>
        </w:rPr>
        <w:t xml:space="preserve"> of these symptoms</w:t>
      </w:r>
      <w:r w:rsidR="00011C1C">
        <w:rPr>
          <w:rFonts w:ascii="Times New Roman" w:hAnsi="Times New Roman" w:cs="Times New Roman"/>
          <w:sz w:val="24"/>
          <w:szCs w:val="24"/>
          <w:lang w:val="en"/>
        </w:rPr>
        <w:t xml:space="preserve"> (Bamberger, 2010)</w:t>
      </w:r>
      <w:r w:rsidR="004C340B">
        <w:rPr>
          <w:rFonts w:ascii="Times New Roman" w:hAnsi="Times New Roman" w:cs="Times New Roman"/>
          <w:sz w:val="24"/>
          <w:szCs w:val="24"/>
          <w:lang w:val="en"/>
        </w:rPr>
        <w:t>.  In this case the patient is experiencing all four symptoms and meningitis should be the first diagnosis on your differential.</w:t>
      </w:r>
      <w:r w:rsidR="00F81825">
        <w:rPr>
          <w:rFonts w:ascii="Times New Roman" w:hAnsi="Times New Roman" w:cs="Times New Roman"/>
          <w:sz w:val="24"/>
          <w:szCs w:val="24"/>
          <w:lang w:val="en"/>
        </w:rPr>
        <w:t xml:space="preserve">  The patient’s evaluation in this case study thus far has included two sets of blood cultures,</w:t>
      </w:r>
      <w:r w:rsidR="007815E9">
        <w:rPr>
          <w:rFonts w:ascii="Times New Roman" w:hAnsi="Times New Roman" w:cs="Times New Roman"/>
          <w:sz w:val="24"/>
          <w:szCs w:val="24"/>
          <w:lang w:val="en"/>
        </w:rPr>
        <w:t xml:space="preserve"> metabolic profile</w:t>
      </w:r>
      <w:r w:rsidR="00F81825">
        <w:rPr>
          <w:rFonts w:ascii="Times New Roman" w:hAnsi="Times New Roman" w:cs="Times New Roman"/>
          <w:sz w:val="24"/>
          <w:szCs w:val="24"/>
          <w:lang w:val="en"/>
        </w:rPr>
        <w:t>,</w:t>
      </w:r>
      <w:r w:rsidR="007815E9">
        <w:rPr>
          <w:rFonts w:ascii="Times New Roman" w:hAnsi="Times New Roman" w:cs="Times New Roman"/>
          <w:sz w:val="24"/>
          <w:szCs w:val="24"/>
          <w:lang w:val="en"/>
        </w:rPr>
        <w:t xml:space="preserve"> complete blood count with differential,</w:t>
      </w:r>
      <w:r w:rsidR="00F81825">
        <w:rPr>
          <w:rFonts w:ascii="Times New Roman" w:hAnsi="Times New Roman" w:cs="Times New Roman"/>
          <w:sz w:val="24"/>
          <w:szCs w:val="24"/>
          <w:lang w:val="en"/>
        </w:rPr>
        <w:t xml:space="preserve"> chest x-ray, </w:t>
      </w:r>
      <w:r w:rsidR="00011C1C">
        <w:rPr>
          <w:rFonts w:ascii="Times New Roman" w:hAnsi="Times New Roman" w:cs="Times New Roman"/>
          <w:sz w:val="24"/>
          <w:szCs w:val="24"/>
          <w:lang w:val="en"/>
        </w:rPr>
        <w:t xml:space="preserve">urine toxicology screen, </w:t>
      </w:r>
      <w:r w:rsidR="00F81825">
        <w:rPr>
          <w:rFonts w:ascii="Times New Roman" w:hAnsi="Times New Roman" w:cs="Times New Roman"/>
          <w:sz w:val="24"/>
          <w:szCs w:val="24"/>
          <w:lang w:val="en"/>
        </w:rPr>
        <w:t>and CT of the brain</w:t>
      </w:r>
      <w:r w:rsidR="00011C1C">
        <w:rPr>
          <w:rFonts w:ascii="Times New Roman" w:hAnsi="Times New Roman" w:cs="Times New Roman"/>
          <w:sz w:val="24"/>
          <w:szCs w:val="24"/>
          <w:lang w:val="en"/>
        </w:rPr>
        <w:t xml:space="preserve"> without contrast</w:t>
      </w:r>
      <w:r w:rsidR="00F81825">
        <w:rPr>
          <w:rFonts w:ascii="Times New Roman" w:hAnsi="Times New Roman" w:cs="Times New Roman"/>
          <w:sz w:val="24"/>
          <w:szCs w:val="24"/>
          <w:lang w:val="en"/>
        </w:rPr>
        <w:t>.  The most appropriate next step in this patient’s diagnostic evaluation would be a lumbar puncture w</w:t>
      </w:r>
      <w:r w:rsidR="007815E9">
        <w:rPr>
          <w:rFonts w:ascii="Times New Roman" w:hAnsi="Times New Roman" w:cs="Times New Roman"/>
          <w:sz w:val="24"/>
          <w:szCs w:val="24"/>
          <w:lang w:val="en"/>
        </w:rPr>
        <w:t>ith</w:t>
      </w:r>
      <w:r w:rsidR="00F81825">
        <w:rPr>
          <w:rFonts w:ascii="Times New Roman" w:hAnsi="Times New Roman" w:cs="Times New Roman"/>
          <w:sz w:val="24"/>
          <w:szCs w:val="24"/>
          <w:lang w:val="en"/>
        </w:rPr>
        <w:t xml:space="preserve"> cerebral spinal fluid analysis.  </w:t>
      </w:r>
      <w:r w:rsidR="00011C1C">
        <w:rPr>
          <w:rFonts w:ascii="Times New Roman" w:hAnsi="Times New Roman" w:cs="Times New Roman"/>
          <w:sz w:val="24"/>
          <w:szCs w:val="24"/>
          <w:lang w:val="en"/>
        </w:rPr>
        <w:t>Acute meningitis is a med</w:t>
      </w:r>
      <w:r w:rsidR="007815E9">
        <w:rPr>
          <w:rFonts w:ascii="Times New Roman" w:hAnsi="Times New Roman" w:cs="Times New Roman"/>
          <w:sz w:val="24"/>
          <w:szCs w:val="24"/>
          <w:lang w:val="en"/>
        </w:rPr>
        <w:t>ical emergency.</w:t>
      </w:r>
      <w:r w:rsidR="00011C1C">
        <w:rPr>
          <w:rFonts w:ascii="Times New Roman" w:hAnsi="Times New Roman" w:cs="Times New Roman"/>
          <w:sz w:val="24"/>
          <w:szCs w:val="24"/>
          <w:lang w:val="en"/>
        </w:rPr>
        <w:t xml:space="preserve"> </w:t>
      </w:r>
      <w:r w:rsidR="007815E9">
        <w:rPr>
          <w:rFonts w:ascii="Times New Roman" w:hAnsi="Times New Roman" w:cs="Times New Roman"/>
          <w:sz w:val="24"/>
          <w:szCs w:val="24"/>
          <w:lang w:val="en"/>
        </w:rPr>
        <w:t>The</w:t>
      </w:r>
      <w:r w:rsidR="00011C1C">
        <w:rPr>
          <w:rFonts w:ascii="Times New Roman" w:hAnsi="Times New Roman" w:cs="Times New Roman"/>
          <w:sz w:val="24"/>
          <w:szCs w:val="24"/>
          <w:lang w:val="en"/>
        </w:rPr>
        <w:t xml:space="preserve"> correct diagnosis and evaluation is critical due to the potential high mortality and morbidity.  An LP exam should never be delayed in patient suspected of meningitis.  A CT scan of the brain without contrast should only be performed before the LP exam if there is clinical suspicion </w:t>
      </w:r>
      <w:r w:rsidR="00E95EA3">
        <w:rPr>
          <w:rFonts w:ascii="Times New Roman" w:hAnsi="Times New Roman" w:cs="Times New Roman"/>
          <w:sz w:val="24"/>
          <w:szCs w:val="24"/>
          <w:lang w:val="en"/>
        </w:rPr>
        <w:t>or risk factors for occult intracranial abnormalities.  Indications for intracranial abnormalities include CS F shunts, hydrocephalus, trauma, space occupying lesions</w:t>
      </w:r>
      <w:r w:rsidR="007815E9">
        <w:rPr>
          <w:rFonts w:ascii="Times New Roman" w:hAnsi="Times New Roman" w:cs="Times New Roman"/>
          <w:sz w:val="24"/>
          <w:szCs w:val="24"/>
          <w:lang w:val="en"/>
        </w:rPr>
        <w:t>,</w:t>
      </w:r>
      <w:r w:rsidR="00E95EA3">
        <w:rPr>
          <w:rFonts w:ascii="Times New Roman" w:hAnsi="Times New Roman" w:cs="Times New Roman"/>
          <w:sz w:val="24"/>
          <w:szCs w:val="24"/>
          <w:lang w:val="en"/>
        </w:rPr>
        <w:t xml:space="preserve"> or recent neurosurgery, immunocompromised state, papilledema, focal neurologic signs, and new onset seizures.  If for any reason an LP exam is delayed in these patients, empiric antibiotic coverage should be started </w:t>
      </w:r>
      <w:r w:rsidR="00E95EA3">
        <w:rPr>
          <w:rFonts w:ascii="Times New Roman" w:hAnsi="Times New Roman" w:cs="Times New Roman"/>
          <w:sz w:val="24"/>
          <w:szCs w:val="24"/>
          <w:lang w:val="en"/>
        </w:rPr>
        <w:lastRenderedPageBreak/>
        <w:t>immediately until an LP examination and CSF collection can be done</w:t>
      </w:r>
      <w:r w:rsidR="00245E7C">
        <w:rPr>
          <w:rFonts w:ascii="Times New Roman" w:hAnsi="Times New Roman" w:cs="Times New Roman"/>
          <w:sz w:val="24"/>
          <w:szCs w:val="24"/>
          <w:lang w:val="en"/>
        </w:rPr>
        <w:t xml:space="preserve"> (McPhee &amp; Papadakis, 2011)</w:t>
      </w:r>
      <w:r w:rsidR="00E95EA3">
        <w:rPr>
          <w:rFonts w:ascii="Times New Roman" w:hAnsi="Times New Roman" w:cs="Times New Roman"/>
          <w:sz w:val="24"/>
          <w:szCs w:val="24"/>
          <w:lang w:val="en"/>
        </w:rPr>
        <w:t>.  Answers A, B, and D are not indicated in the evaluation for acute meningitis.  Given the severity of the patient’s symptoms and findings</w:t>
      </w:r>
      <w:r w:rsidR="00245E7C">
        <w:rPr>
          <w:rFonts w:ascii="Times New Roman" w:hAnsi="Times New Roman" w:cs="Times New Roman"/>
          <w:sz w:val="24"/>
          <w:szCs w:val="24"/>
          <w:lang w:val="en"/>
        </w:rPr>
        <w:t xml:space="preserve"> from testing already completed obviously makes answer E incorrect.</w:t>
      </w:r>
    </w:p>
    <w:p w:rsidR="00245E7C" w:rsidRDefault="00245E7C" w:rsidP="00E95EA3">
      <w:pPr>
        <w:spacing w:line="480" w:lineRule="auto"/>
        <w:contextualSpacing/>
        <w:rPr>
          <w:rFonts w:ascii="Times New Roman" w:hAnsi="Times New Roman" w:cs="Times New Roman"/>
          <w:b/>
          <w:sz w:val="24"/>
          <w:szCs w:val="24"/>
          <w:lang w:val="en"/>
        </w:rPr>
      </w:pPr>
      <w:r w:rsidRPr="00245E7C">
        <w:rPr>
          <w:rFonts w:ascii="Times New Roman" w:hAnsi="Times New Roman" w:cs="Times New Roman"/>
          <w:b/>
          <w:sz w:val="24"/>
          <w:szCs w:val="24"/>
          <w:lang w:val="en"/>
        </w:rPr>
        <w:t>2.  Which of the following is the patient’s most likely diagnosis?  Provide rationale for your answer.</w:t>
      </w:r>
    </w:p>
    <w:p w:rsidR="00245E7C" w:rsidRPr="00245E7C" w:rsidRDefault="00245E7C" w:rsidP="00245E7C">
      <w:pPr>
        <w:spacing w:line="240" w:lineRule="auto"/>
        <w:contextualSpacing/>
        <w:rPr>
          <w:rFonts w:ascii="Times New Roman" w:hAnsi="Times New Roman" w:cs="Times New Roman"/>
          <w:b/>
          <w:sz w:val="24"/>
          <w:szCs w:val="24"/>
          <w:lang w:val="en"/>
        </w:rPr>
      </w:pPr>
      <w:r w:rsidRPr="00245E7C">
        <w:rPr>
          <w:rFonts w:ascii="Times New Roman" w:hAnsi="Times New Roman" w:cs="Times New Roman"/>
          <w:b/>
          <w:sz w:val="24"/>
          <w:szCs w:val="24"/>
          <w:lang w:val="en"/>
        </w:rPr>
        <w:t>A.  Viral meningitis</w:t>
      </w:r>
    </w:p>
    <w:p w:rsidR="00245E7C" w:rsidRPr="00245E7C" w:rsidRDefault="00245E7C" w:rsidP="00245E7C">
      <w:pPr>
        <w:spacing w:line="240" w:lineRule="auto"/>
        <w:contextualSpacing/>
        <w:rPr>
          <w:rFonts w:ascii="Times New Roman" w:hAnsi="Times New Roman" w:cs="Times New Roman"/>
          <w:b/>
          <w:sz w:val="24"/>
          <w:szCs w:val="24"/>
          <w:lang w:val="en"/>
        </w:rPr>
      </w:pPr>
      <w:r w:rsidRPr="00245E7C">
        <w:rPr>
          <w:rFonts w:ascii="Times New Roman" w:hAnsi="Times New Roman" w:cs="Times New Roman"/>
          <w:b/>
          <w:sz w:val="24"/>
          <w:szCs w:val="24"/>
          <w:lang w:val="en"/>
        </w:rPr>
        <w:t>B.  Fungal meningitis</w:t>
      </w:r>
    </w:p>
    <w:p w:rsidR="00245E7C" w:rsidRPr="00245E7C" w:rsidRDefault="00245E7C" w:rsidP="00245E7C">
      <w:pPr>
        <w:spacing w:line="240" w:lineRule="auto"/>
        <w:contextualSpacing/>
        <w:rPr>
          <w:rFonts w:ascii="Times New Roman" w:hAnsi="Times New Roman" w:cs="Times New Roman"/>
          <w:b/>
          <w:sz w:val="24"/>
          <w:szCs w:val="24"/>
          <w:lang w:val="en"/>
        </w:rPr>
      </w:pPr>
      <w:r w:rsidRPr="00245E7C">
        <w:rPr>
          <w:rFonts w:ascii="Times New Roman" w:hAnsi="Times New Roman" w:cs="Times New Roman"/>
          <w:b/>
          <w:sz w:val="24"/>
          <w:szCs w:val="24"/>
          <w:highlight w:val="yellow"/>
          <w:lang w:val="en"/>
        </w:rPr>
        <w:t>C.  Bacterial meningitis</w:t>
      </w:r>
    </w:p>
    <w:p w:rsidR="00245E7C" w:rsidRPr="00245E7C" w:rsidRDefault="00245E7C" w:rsidP="00245E7C">
      <w:pPr>
        <w:spacing w:line="240" w:lineRule="auto"/>
        <w:contextualSpacing/>
        <w:rPr>
          <w:rFonts w:ascii="Times New Roman" w:hAnsi="Times New Roman" w:cs="Times New Roman"/>
          <w:b/>
          <w:sz w:val="24"/>
          <w:szCs w:val="24"/>
          <w:lang w:val="en"/>
        </w:rPr>
      </w:pPr>
      <w:r w:rsidRPr="00245E7C">
        <w:rPr>
          <w:rFonts w:ascii="Times New Roman" w:hAnsi="Times New Roman" w:cs="Times New Roman"/>
          <w:b/>
          <w:sz w:val="24"/>
          <w:szCs w:val="24"/>
          <w:lang w:val="en"/>
        </w:rPr>
        <w:t>D.  Mycobacterial meningitis</w:t>
      </w:r>
    </w:p>
    <w:p w:rsidR="00831160" w:rsidRPr="00245E7C" w:rsidRDefault="00245E7C" w:rsidP="00245E7C">
      <w:pPr>
        <w:spacing w:line="240" w:lineRule="auto"/>
        <w:contextualSpacing/>
        <w:rPr>
          <w:rFonts w:ascii="Times New Roman" w:hAnsi="Times New Roman" w:cs="Times New Roman"/>
          <w:b/>
          <w:sz w:val="24"/>
          <w:szCs w:val="24"/>
          <w:lang w:val="en"/>
        </w:rPr>
      </w:pPr>
      <w:r w:rsidRPr="00245E7C">
        <w:rPr>
          <w:rFonts w:ascii="Times New Roman" w:hAnsi="Times New Roman" w:cs="Times New Roman"/>
          <w:b/>
          <w:sz w:val="24"/>
          <w:szCs w:val="24"/>
          <w:lang w:val="en"/>
        </w:rPr>
        <w:t>E.  Noninfectious meningeal irritation</w:t>
      </w:r>
    </w:p>
    <w:p w:rsidR="00245E7C" w:rsidRDefault="00245E7C" w:rsidP="00245E7C">
      <w:pPr>
        <w:spacing w:line="240" w:lineRule="auto"/>
        <w:contextualSpacing/>
        <w:rPr>
          <w:rFonts w:ascii="Times New Roman" w:hAnsi="Times New Roman" w:cs="Times New Roman"/>
          <w:sz w:val="24"/>
          <w:szCs w:val="24"/>
          <w:lang w:val="en"/>
        </w:rPr>
      </w:pPr>
    </w:p>
    <w:p w:rsidR="00B637A8" w:rsidRDefault="00245E7C" w:rsidP="00E26EBA">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ab/>
      </w:r>
      <w:r w:rsidR="00712C02">
        <w:rPr>
          <w:rFonts w:ascii="Times New Roman" w:hAnsi="Times New Roman" w:cs="Times New Roman"/>
          <w:sz w:val="24"/>
          <w:szCs w:val="24"/>
          <w:lang w:val="en"/>
        </w:rPr>
        <w:t xml:space="preserve">The results from the lumbar puncture of this patient are indicative of bacterial meningitis.  </w:t>
      </w:r>
      <w:r w:rsidR="0005073B">
        <w:rPr>
          <w:rFonts w:ascii="Times New Roman" w:hAnsi="Times New Roman" w:cs="Times New Roman"/>
          <w:sz w:val="24"/>
          <w:szCs w:val="24"/>
          <w:lang w:val="en"/>
        </w:rPr>
        <w:t xml:space="preserve">The opening pressure of 270 mm H2O, white blood cell count of 1,050 μL with predominance of neutrophils at 93%, and protein of 81 mg/dL are all diagnostic of bacterial meningitis.  </w:t>
      </w:r>
      <w:r w:rsidR="00712C02">
        <w:rPr>
          <w:rFonts w:ascii="Times New Roman" w:hAnsi="Times New Roman" w:cs="Times New Roman"/>
          <w:sz w:val="24"/>
          <w:szCs w:val="24"/>
          <w:lang w:val="en"/>
        </w:rPr>
        <w:t xml:space="preserve">The patient CSF glucose was normal at 121 mg/dL, which is not typical for bacterial meningitis.  </w:t>
      </w:r>
      <w:r w:rsidR="00B637A8">
        <w:rPr>
          <w:rFonts w:ascii="Times New Roman" w:hAnsi="Times New Roman" w:cs="Times New Roman"/>
          <w:sz w:val="24"/>
          <w:szCs w:val="24"/>
          <w:lang w:val="en"/>
        </w:rPr>
        <w:t xml:space="preserve">A low glucose level of less than or equal to 40 mg/dL is normally seen with bacterial meningitis.  </w:t>
      </w:r>
      <w:r w:rsidR="008B1EDC">
        <w:rPr>
          <w:rFonts w:ascii="Times New Roman" w:hAnsi="Times New Roman" w:cs="Times New Roman"/>
          <w:sz w:val="24"/>
          <w:szCs w:val="24"/>
          <w:lang w:val="en"/>
        </w:rPr>
        <w:t>T</w:t>
      </w:r>
      <w:r w:rsidR="00712C02">
        <w:rPr>
          <w:rFonts w:ascii="Times New Roman" w:hAnsi="Times New Roman" w:cs="Times New Roman"/>
          <w:sz w:val="24"/>
          <w:szCs w:val="24"/>
          <w:lang w:val="en"/>
        </w:rPr>
        <w:t xml:space="preserve">he patient’s lab work </w:t>
      </w:r>
      <w:r w:rsidR="008B1EDC">
        <w:rPr>
          <w:rFonts w:ascii="Times New Roman" w:hAnsi="Times New Roman" w:cs="Times New Roman"/>
          <w:sz w:val="24"/>
          <w:szCs w:val="24"/>
          <w:lang w:val="en"/>
        </w:rPr>
        <w:t xml:space="preserve">revealed that </w:t>
      </w:r>
      <w:r w:rsidR="00712C02">
        <w:rPr>
          <w:rFonts w:ascii="Times New Roman" w:hAnsi="Times New Roman" w:cs="Times New Roman"/>
          <w:sz w:val="24"/>
          <w:szCs w:val="24"/>
          <w:lang w:val="en"/>
        </w:rPr>
        <w:t>she was hyperglycemic with the blood sugar of 307 mg/dL.  If you calculate the CSF glucose to blood serum glucose ratio</w:t>
      </w:r>
      <w:r w:rsidR="001266E7">
        <w:rPr>
          <w:rFonts w:ascii="Times New Roman" w:hAnsi="Times New Roman" w:cs="Times New Roman"/>
          <w:sz w:val="24"/>
          <w:szCs w:val="24"/>
          <w:lang w:val="en"/>
        </w:rPr>
        <w:t>,</w:t>
      </w:r>
      <w:r w:rsidR="00712C02">
        <w:rPr>
          <w:rFonts w:ascii="Times New Roman" w:hAnsi="Times New Roman" w:cs="Times New Roman"/>
          <w:sz w:val="24"/>
          <w:szCs w:val="24"/>
          <w:lang w:val="en"/>
        </w:rPr>
        <w:t xml:space="preserve"> it is less than 40%</w:t>
      </w:r>
      <w:r w:rsidR="001266E7">
        <w:rPr>
          <w:rFonts w:ascii="Times New Roman" w:hAnsi="Times New Roman" w:cs="Times New Roman"/>
          <w:sz w:val="24"/>
          <w:szCs w:val="24"/>
          <w:lang w:val="en"/>
        </w:rPr>
        <w:t>,</w:t>
      </w:r>
      <w:r w:rsidR="00712C02">
        <w:rPr>
          <w:rFonts w:ascii="Times New Roman" w:hAnsi="Times New Roman" w:cs="Times New Roman"/>
          <w:sz w:val="24"/>
          <w:szCs w:val="24"/>
          <w:lang w:val="en"/>
        </w:rPr>
        <w:t xml:space="preserve"> which is</w:t>
      </w:r>
      <w:r w:rsidR="001266E7">
        <w:rPr>
          <w:rFonts w:ascii="Times New Roman" w:hAnsi="Times New Roman" w:cs="Times New Roman"/>
          <w:sz w:val="24"/>
          <w:szCs w:val="24"/>
          <w:lang w:val="en"/>
        </w:rPr>
        <w:t xml:space="preserve"> diagnostic of </w:t>
      </w:r>
      <w:r w:rsidR="00712C02">
        <w:rPr>
          <w:rFonts w:ascii="Times New Roman" w:hAnsi="Times New Roman" w:cs="Times New Roman"/>
          <w:sz w:val="24"/>
          <w:szCs w:val="24"/>
          <w:lang w:val="en"/>
        </w:rPr>
        <w:t>bacterial meningitis</w:t>
      </w:r>
      <w:r w:rsidR="001266E7">
        <w:rPr>
          <w:rFonts w:ascii="Times New Roman" w:hAnsi="Times New Roman" w:cs="Times New Roman"/>
          <w:sz w:val="24"/>
          <w:szCs w:val="24"/>
          <w:lang w:val="en"/>
        </w:rPr>
        <w:t xml:space="preserve"> </w:t>
      </w:r>
      <w:r w:rsidR="00486BFE">
        <w:rPr>
          <w:rFonts w:ascii="Times New Roman" w:hAnsi="Times New Roman" w:cs="Times New Roman"/>
          <w:sz w:val="24"/>
          <w:szCs w:val="24"/>
          <w:lang w:val="en"/>
        </w:rPr>
        <w:t xml:space="preserve">(Longo et al., 2012).  </w:t>
      </w:r>
      <w:r w:rsidR="00712C02">
        <w:rPr>
          <w:rFonts w:ascii="Times New Roman" w:hAnsi="Times New Roman" w:cs="Times New Roman"/>
          <w:sz w:val="24"/>
          <w:szCs w:val="24"/>
          <w:lang w:val="en"/>
        </w:rPr>
        <w:t>Viral, fungal, and mycobacterial meningitis typically all have predominance</w:t>
      </w:r>
      <w:r w:rsidR="001266E7">
        <w:rPr>
          <w:rFonts w:ascii="Times New Roman" w:hAnsi="Times New Roman" w:cs="Times New Roman"/>
          <w:sz w:val="24"/>
          <w:szCs w:val="24"/>
          <w:lang w:val="en"/>
        </w:rPr>
        <w:t xml:space="preserve"> of lymphocytes in their white blood count differential.</w:t>
      </w:r>
      <w:r w:rsidR="00486BFE">
        <w:rPr>
          <w:rFonts w:ascii="Times New Roman" w:hAnsi="Times New Roman" w:cs="Times New Roman"/>
          <w:sz w:val="24"/>
          <w:szCs w:val="24"/>
          <w:lang w:val="en"/>
        </w:rPr>
        <w:t xml:space="preserve">  For typical CSF findings in patients with meningitis see table 2 in the answer to question four.</w:t>
      </w:r>
    </w:p>
    <w:p w:rsidR="00B637A8" w:rsidRPr="00B637A8" w:rsidRDefault="00B637A8" w:rsidP="00E26EBA">
      <w:pPr>
        <w:spacing w:line="480" w:lineRule="auto"/>
        <w:contextualSpacing/>
        <w:rPr>
          <w:rFonts w:ascii="Times New Roman" w:hAnsi="Times New Roman" w:cs="Times New Roman"/>
          <w:b/>
          <w:sz w:val="24"/>
          <w:szCs w:val="24"/>
        </w:rPr>
      </w:pPr>
      <w:r w:rsidRPr="00B637A8">
        <w:rPr>
          <w:rFonts w:ascii="Times New Roman" w:hAnsi="Times New Roman" w:cs="Times New Roman"/>
          <w:b/>
          <w:sz w:val="24"/>
          <w:szCs w:val="24"/>
        </w:rPr>
        <w:t>3.  Paced on the Gram stain, which of the following antibiotic regimens is the most appropriate in this patient?  Provide rationale for your answer.</w:t>
      </w:r>
    </w:p>
    <w:p w:rsidR="00B637A8" w:rsidRPr="00B637A8" w:rsidRDefault="00B637A8" w:rsidP="00B637A8">
      <w:pPr>
        <w:spacing w:line="240" w:lineRule="auto"/>
        <w:contextualSpacing/>
        <w:rPr>
          <w:rFonts w:ascii="Times New Roman" w:hAnsi="Times New Roman" w:cs="Times New Roman"/>
          <w:b/>
          <w:sz w:val="24"/>
          <w:szCs w:val="24"/>
        </w:rPr>
      </w:pPr>
      <w:r w:rsidRPr="00B637A8">
        <w:rPr>
          <w:rFonts w:ascii="Times New Roman" w:hAnsi="Times New Roman" w:cs="Times New Roman"/>
          <w:b/>
          <w:sz w:val="24"/>
          <w:szCs w:val="24"/>
        </w:rPr>
        <w:t>A.  Penicillin G</w:t>
      </w:r>
    </w:p>
    <w:p w:rsidR="00B637A8" w:rsidRPr="00B637A8" w:rsidRDefault="00B637A8" w:rsidP="00B637A8">
      <w:pPr>
        <w:spacing w:line="240" w:lineRule="auto"/>
        <w:contextualSpacing/>
        <w:rPr>
          <w:rFonts w:ascii="Times New Roman" w:hAnsi="Times New Roman" w:cs="Times New Roman"/>
          <w:b/>
          <w:sz w:val="24"/>
          <w:szCs w:val="24"/>
        </w:rPr>
      </w:pPr>
      <w:r w:rsidRPr="00B637A8">
        <w:rPr>
          <w:rFonts w:ascii="Times New Roman" w:hAnsi="Times New Roman" w:cs="Times New Roman"/>
          <w:b/>
          <w:sz w:val="24"/>
          <w:szCs w:val="24"/>
        </w:rPr>
        <w:t>B.  Ceftriaxone</w:t>
      </w:r>
    </w:p>
    <w:p w:rsidR="00B637A8" w:rsidRPr="00B637A8" w:rsidRDefault="00B637A8" w:rsidP="00B637A8">
      <w:pPr>
        <w:spacing w:line="240" w:lineRule="auto"/>
        <w:contextualSpacing/>
        <w:rPr>
          <w:rFonts w:ascii="Times New Roman" w:hAnsi="Times New Roman" w:cs="Times New Roman"/>
          <w:b/>
          <w:sz w:val="24"/>
          <w:szCs w:val="24"/>
        </w:rPr>
      </w:pPr>
      <w:r w:rsidRPr="00DC27FB">
        <w:rPr>
          <w:rFonts w:ascii="Times New Roman" w:hAnsi="Times New Roman" w:cs="Times New Roman"/>
          <w:b/>
          <w:sz w:val="24"/>
          <w:szCs w:val="24"/>
          <w:highlight w:val="yellow"/>
        </w:rPr>
        <w:lastRenderedPageBreak/>
        <w:t>C.  Ceftriaxone and vancomycin</w:t>
      </w:r>
    </w:p>
    <w:p w:rsidR="00B637A8" w:rsidRPr="00B637A8" w:rsidRDefault="00B637A8" w:rsidP="00B637A8">
      <w:pPr>
        <w:spacing w:line="240" w:lineRule="auto"/>
        <w:contextualSpacing/>
        <w:rPr>
          <w:rFonts w:ascii="Times New Roman" w:hAnsi="Times New Roman" w:cs="Times New Roman"/>
          <w:b/>
          <w:sz w:val="24"/>
          <w:szCs w:val="24"/>
        </w:rPr>
      </w:pPr>
      <w:r w:rsidRPr="00B637A8">
        <w:rPr>
          <w:rFonts w:ascii="Times New Roman" w:hAnsi="Times New Roman" w:cs="Times New Roman"/>
          <w:b/>
          <w:sz w:val="24"/>
          <w:szCs w:val="24"/>
        </w:rPr>
        <w:t>D.  Ampicillin and cefotaxime</w:t>
      </w:r>
    </w:p>
    <w:p w:rsidR="00B637A8" w:rsidRDefault="00B637A8" w:rsidP="00B637A8">
      <w:pPr>
        <w:spacing w:line="240" w:lineRule="auto"/>
        <w:contextualSpacing/>
        <w:rPr>
          <w:rFonts w:ascii="Times New Roman" w:hAnsi="Times New Roman" w:cs="Times New Roman"/>
          <w:sz w:val="24"/>
          <w:szCs w:val="24"/>
        </w:rPr>
      </w:pPr>
      <w:r w:rsidRPr="00B637A8">
        <w:rPr>
          <w:rFonts w:ascii="Times New Roman" w:hAnsi="Times New Roman" w:cs="Times New Roman"/>
          <w:b/>
          <w:sz w:val="24"/>
          <w:szCs w:val="24"/>
        </w:rPr>
        <w:t>E.  Cefepime</w:t>
      </w:r>
    </w:p>
    <w:p w:rsidR="00B637A8" w:rsidRDefault="00B637A8" w:rsidP="00B637A8">
      <w:pPr>
        <w:spacing w:line="240" w:lineRule="auto"/>
        <w:contextualSpacing/>
        <w:rPr>
          <w:rFonts w:ascii="Times New Roman" w:hAnsi="Times New Roman" w:cs="Times New Roman"/>
          <w:sz w:val="24"/>
          <w:szCs w:val="24"/>
        </w:rPr>
      </w:pPr>
    </w:p>
    <w:p w:rsidR="00ED46B5" w:rsidRDefault="00F45D39" w:rsidP="00ED46B5">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725F1">
        <w:rPr>
          <w:rFonts w:ascii="Times New Roman" w:hAnsi="Times New Roman" w:cs="Times New Roman"/>
          <w:sz w:val="24"/>
          <w:szCs w:val="24"/>
        </w:rPr>
        <w:t xml:space="preserve">The Gram stain of the CSF revealed many gram-positive cocci in pairs.  Gram-positive cocci in pairs are suggestive of </w:t>
      </w:r>
      <w:r w:rsidR="00F725F1" w:rsidRPr="00F725F1">
        <w:rPr>
          <w:rFonts w:ascii="Times New Roman" w:hAnsi="Times New Roman" w:cs="Times New Roman"/>
          <w:i/>
          <w:sz w:val="24"/>
          <w:szCs w:val="24"/>
        </w:rPr>
        <w:t>Streptococcus</w:t>
      </w:r>
      <w:r w:rsidR="00F725F1">
        <w:rPr>
          <w:rFonts w:ascii="Times New Roman" w:hAnsi="Times New Roman" w:cs="Times New Roman"/>
          <w:sz w:val="24"/>
          <w:szCs w:val="24"/>
        </w:rPr>
        <w:t xml:space="preserve"> species or </w:t>
      </w:r>
      <w:r w:rsidR="00F725F1">
        <w:rPr>
          <w:rFonts w:ascii="Times New Roman" w:hAnsi="Times New Roman" w:cs="Times New Roman"/>
          <w:i/>
          <w:sz w:val="24"/>
          <w:szCs w:val="24"/>
        </w:rPr>
        <w:t>Enterococcus</w:t>
      </w:r>
      <w:r w:rsidR="00F725F1">
        <w:rPr>
          <w:rFonts w:ascii="Times New Roman" w:hAnsi="Times New Roman" w:cs="Times New Roman"/>
          <w:sz w:val="24"/>
          <w:szCs w:val="24"/>
        </w:rPr>
        <w:t xml:space="preserve"> species.  Given this case</w:t>
      </w:r>
      <w:r w:rsidR="00550648">
        <w:rPr>
          <w:rFonts w:ascii="Times New Roman" w:hAnsi="Times New Roman" w:cs="Times New Roman"/>
          <w:sz w:val="24"/>
          <w:szCs w:val="24"/>
        </w:rPr>
        <w:t>,</w:t>
      </w:r>
      <w:r w:rsidR="00F725F1">
        <w:rPr>
          <w:rFonts w:ascii="Times New Roman" w:hAnsi="Times New Roman" w:cs="Times New Roman"/>
          <w:sz w:val="24"/>
          <w:szCs w:val="24"/>
        </w:rPr>
        <w:t xml:space="preserve"> the most likely etiology of this patient’s infection is due to </w:t>
      </w:r>
      <w:r w:rsidR="00F725F1" w:rsidRPr="00F725F1">
        <w:rPr>
          <w:rFonts w:ascii="Times New Roman" w:hAnsi="Times New Roman" w:cs="Times New Roman"/>
          <w:i/>
          <w:sz w:val="24"/>
          <w:szCs w:val="24"/>
        </w:rPr>
        <w:t>Streptococcus pneumoniae</w:t>
      </w:r>
      <w:r w:rsidR="00F725F1">
        <w:rPr>
          <w:rFonts w:ascii="Times New Roman" w:hAnsi="Times New Roman" w:cs="Times New Roman"/>
          <w:sz w:val="24"/>
          <w:szCs w:val="24"/>
        </w:rPr>
        <w:t xml:space="preserve"> and should be treated as such.</w:t>
      </w:r>
      <w:r w:rsidR="00760470">
        <w:rPr>
          <w:rFonts w:ascii="Times New Roman" w:hAnsi="Times New Roman" w:cs="Times New Roman"/>
          <w:sz w:val="24"/>
          <w:szCs w:val="24"/>
        </w:rPr>
        <w:t xml:space="preserve">  </w:t>
      </w:r>
      <w:r w:rsidR="00760470" w:rsidRPr="00760470">
        <w:rPr>
          <w:rFonts w:ascii="Times New Roman" w:hAnsi="Times New Roman" w:cs="Times New Roman"/>
          <w:i/>
          <w:sz w:val="24"/>
          <w:szCs w:val="24"/>
        </w:rPr>
        <w:t xml:space="preserve">Neisseria meningitidis </w:t>
      </w:r>
      <w:r w:rsidR="00760470">
        <w:rPr>
          <w:rFonts w:ascii="Times New Roman" w:hAnsi="Times New Roman" w:cs="Times New Roman"/>
          <w:sz w:val="24"/>
          <w:szCs w:val="24"/>
        </w:rPr>
        <w:t xml:space="preserve">and </w:t>
      </w:r>
      <w:r w:rsidR="00760470" w:rsidRPr="00760470">
        <w:rPr>
          <w:rFonts w:ascii="Times New Roman" w:hAnsi="Times New Roman" w:cs="Times New Roman"/>
          <w:i/>
          <w:sz w:val="24"/>
          <w:szCs w:val="24"/>
        </w:rPr>
        <w:t xml:space="preserve">Staphylococcus pneumoniae </w:t>
      </w:r>
      <w:r w:rsidR="00760470">
        <w:rPr>
          <w:rFonts w:ascii="Times New Roman" w:hAnsi="Times New Roman" w:cs="Times New Roman"/>
          <w:sz w:val="24"/>
          <w:szCs w:val="24"/>
        </w:rPr>
        <w:t xml:space="preserve">are the two most prevalent unlikely pathogens of patients between the ages of two to 50 years of age.  In adults older than 50 years, or patients with altered cellular immunity or alcoholism, </w:t>
      </w:r>
      <w:r w:rsidR="00760470" w:rsidRPr="00760470">
        <w:rPr>
          <w:rFonts w:ascii="Times New Roman" w:hAnsi="Times New Roman" w:cs="Times New Roman"/>
          <w:i/>
          <w:sz w:val="24"/>
          <w:szCs w:val="24"/>
        </w:rPr>
        <w:t>Listeria monocytogenes</w:t>
      </w:r>
      <w:r w:rsidR="00760470">
        <w:rPr>
          <w:rFonts w:ascii="Times New Roman" w:hAnsi="Times New Roman" w:cs="Times New Roman"/>
          <w:sz w:val="24"/>
          <w:szCs w:val="24"/>
        </w:rPr>
        <w:t xml:space="preserve"> and aerobic gram-negative bacilli are likely pathogens as well (Bamberger, 2010).  </w:t>
      </w:r>
      <w:r w:rsidR="001F2779">
        <w:rPr>
          <w:rFonts w:ascii="Times New Roman" w:hAnsi="Times New Roman" w:cs="Times New Roman"/>
          <w:sz w:val="24"/>
          <w:szCs w:val="24"/>
        </w:rPr>
        <w:t xml:space="preserve">Penicillin G </w:t>
      </w:r>
      <w:r w:rsidR="00550648">
        <w:rPr>
          <w:rFonts w:ascii="Times New Roman" w:hAnsi="Times New Roman" w:cs="Times New Roman"/>
          <w:sz w:val="24"/>
          <w:szCs w:val="24"/>
        </w:rPr>
        <w:t>in</w:t>
      </w:r>
      <w:r w:rsidR="001F2779">
        <w:rPr>
          <w:rFonts w:ascii="Times New Roman" w:hAnsi="Times New Roman" w:cs="Times New Roman"/>
          <w:sz w:val="24"/>
          <w:szCs w:val="24"/>
        </w:rPr>
        <w:t xml:space="preserve"> adequate doses is an appropriate antibiotic for </w:t>
      </w:r>
      <w:r w:rsidR="001F2779" w:rsidRPr="001F2779">
        <w:rPr>
          <w:rFonts w:ascii="Times New Roman" w:hAnsi="Times New Roman" w:cs="Times New Roman"/>
          <w:i/>
          <w:sz w:val="24"/>
          <w:szCs w:val="24"/>
        </w:rPr>
        <w:t>Streptococcus pneumoniae</w:t>
      </w:r>
      <w:r w:rsidR="001F2779">
        <w:rPr>
          <w:rFonts w:ascii="Times New Roman" w:hAnsi="Times New Roman" w:cs="Times New Roman"/>
          <w:i/>
          <w:sz w:val="24"/>
          <w:szCs w:val="24"/>
        </w:rPr>
        <w:t xml:space="preserve"> </w:t>
      </w:r>
      <w:r w:rsidR="00550648">
        <w:rPr>
          <w:rFonts w:ascii="Times New Roman" w:hAnsi="Times New Roman" w:cs="Times New Roman"/>
          <w:sz w:val="24"/>
          <w:szCs w:val="24"/>
        </w:rPr>
        <w:t>if in fact it is penicillin-</w:t>
      </w:r>
      <w:r w:rsidR="001F2779" w:rsidRPr="001F2779">
        <w:rPr>
          <w:rFonts w:ascii="Times New Roman" w:hAnsi="Times New Roman" w:cs="Times New Roman"/>
          <w:sz w:val="24"/>
          <w:szCs w:val="24"/>
        </w:rPr>
        <w:t>sensitive.</w:t>
      </w:r>
      <w:r w:rsidR="001F2779">
        <w:rPr>
          <w:rFonts w:ascii="Times New Roman" w:hAnsi="Times New Roman" w:cs="Times New Roman"/>
          <w:sz w:val="24"/>
          <w:szCs w:val="24"/>
        </w:rPr>
        <w:t xml:space="preserve">  Because only the Gram stain results are available and the culture and sensitivity reports are pending, penicillin G should not be used for this patient.  Ceftriaxone and cefepime used as monotherapy is appropriate for penicillin – intermediate susceptible </w:t>
      </w:r>
      <w:r w:rsidR="001F2779" w:rsidRPr="00550648">
        <w:rPr>
          <w:rFonts w:ascii="Times New Roman" w:hAnsi="Times New Roman" w:cs="Times New Roman"/>
          <w:i/>
          <w:sz w:val="24"/>
          <w:szCs w:val="24"/>
        </w:rPr>
        <w:t>Staphylococcus pneumoniae</w:t>
      </w:r>
      <w:r w:rsidR="00550648" w:rsidRPr="00550648">
        <w:rPr>
          <w:rFonts w:ascii="Times New Roman" w:hAnsi="Times New Roman" w:cs="Times New Roman"/>
          <w:i/>
          <w:sz w:val="24"/>
          <w:szCs w:val="24"/>
        </w:rPr>
        <w:t xml:space="preserve"> </w:t>
      </w:r>
      <w:r w:rsidR="00550648">
        <w:rPr>
          <w:rFonts w:ascii="Times New Roman" w:hAnsi="Times New Roman" w:cs="Times New Roman"/>
          <w:sz w:val="24"/>
          <w:szCs w:val="24"/>
        </w:rPr>
        <w:t>meningitis</w:t>
      </w:r>
      <w:r w:rsidR="001F2779">
        <w:rPr>
          <w:rFonts w:ascii="Times New Roman" w:hAnsi="Times New Roman" w:cs="Times New Roman"/>
          <w:sz w:val="24"/>
          <w:szCs w:val="24"/>
        </w:rPr>
        <w:t>.  But again, since we do not have the culture and sensitivity report ceftriaxone and cefepime should not be initiated as an initial monotherapy treatment</w:t>
      </w:r>
      <w:r w:rsidR="00ED46B5">
        <w:rPr>
          <w:rFonts w:ascii="Times New Roman" w:hAnsi="Times New Roman" w:cs="Times New Roman"/>
          <w:sz w:val="24"/>
          <w:szCs w:val="24"/>
        </w:rPr>
        <w:t xml:space="preserve"> (Longo et al., 2012)</w:t>
      </w:r>
      <w:r w:rsidR="001F2779">
        <w:rPr>
          <w:rFonts w:ascii="Times New Roman" w:hAnsi="Times New Roman" w:cs="Times New Roman"/>
          <w:sz w:val="24"/>
          <w:szCs w:val="24"/>
        </w:rPr>
        <w:t>.</w:t>
      </w:r>
    </w:p>
    <w:p w:rsidR="002E0165" w:rsidRDefault="00ED46B5" w:rsidP="009B73CB">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ab/>
        <w:t xml:space="preserve">With the prevalence of penicillin resistant strands of pneumonia cocci as high as 35% in some areas of the United States empirical treatment for pneumococcal meningitis should consist of vancomycin and a cephalosporin, either cefotaxime or ceftriaxone, until the </w:t>
      </w:r>
      <w:r w:rsidR="002D17D9" w:rsidRPr="002D17D9">
        <w:rPr>
          <w:rFonts w:ascii="Times New Roman" w:hAnsi="Times New Roman" w:cs="Times New Roman"/>
          <w:i/>
          <w:sz w:val="24"/>
          <w:szCs w:val="24"/>
          <w:lang w:val="en"/>
        </w:rPr>
        <w:t>in vitro</w:t>
      </w:r>
      <w:r w:rsidR="002D17D9">
        <w:rPr>
          <w:rFonts w:ascii="Times New Roman" w:hAnsi="Times New Roman" w:cs="Times New Roman"/>
          <w:sz w:val="24"/>
          <w:szCs w:val="24"/>
          <w:lang w:val="en"/>
        </w:rPr>
        <w:t xml:space="preserve"> </w:t>
      </w:r>
      <w:r>
        <w:rPr>
          <w:rFonts w:ascii="Times New Roman" w:hAnsi="Times New Roman" w:cs="Times New Roman"/>
          <w:sz w:val="24"/>
          <w:szCs w:val="24"/>
          <w:lang w:val="en"/>
        </w:rPr>
        <w:t>susceptibility is known.</w:t>
      </w:r>
      <w:r w:rsidR="00550648">
        <w:rPr>
          <w:rFonts w:ascii="Times New Roman" w:hAnsi="Times New Roman" w:cs="Times New Roman"/>
          <w:sz w:val="24"/>
          <w:szCs w:val="24"/>
          <w:lang w:val="en"/>
        </w:rPr>
        <w:t xml:space="preserve">  Once the culture and sensitivity report has been finalized, appropriate narrowing of antibiotics should be done (Brouwer, Tunkel</w:t>
      </w:r>
      <w:r w:rsidR="009B73CB">
        <w:rPr>
          <w:rFonts w:ascii="Times New Roman" w:hAnsi="Times New Roman" w:cs="Times New Roman"/>
          <w:sz w:val="24"/>
          <w:szCs w:val="24"/>
          <w:lang w:val="en"/>
        </w:rPr>
        <w:t>, &amp;</w:t>
      </w:r>
      <w:r w:rsidR="00550648">
        <w:rPr>
          <w:rFonts w:ascii="Times New Roman" w:hAnsi="Times New Roman" w:cs="Times New Roman"/>
          <w:sz w:val="24"/>
          <w:szCs w:val="24"/>
          <w:lang w:val="en"/>
        </w:rPr>
        <w:t xml:space="preserve"> </w:t>
      </w:r>
      <w:r w:rsidR="00014100">
        <w:rPr>
          <w:rFonts w:ascii="Times New Roman" w:hAnsi="Times New Roman" w:cs="Times New Roman"/>
          <w:sz w:val="24"/>
          <w:szCs w:val="24"/>
          <w:lang w:val="en"/>
        </w:rPr>
        <w:t xml:space="preserve">van de </w:t>
      </w:r>
      <w:r w:rsidR="00550648">
        <w:rPr>
          <w:rFonts w:ascii="Times New Roman" w:hAnsi="Times New Roman" w:cs="Times New Roman"/>
          <w:sz w:val="24"/>
          <w:szCs w:val="24"/>
          <w:lang w:val="en"/>
        </w:rPr>
        <w:t>Beek, 2010).  Ampicillin and cefotaxime</w:t>
      </w:r>
      <w:r w:rsidR="009B73CB">
        <w:rPr>
          <w:rFonts w:ascii="Times New Roman" w:hAnsi="Times New Roman" w:cs="Times New Roman"/>
          <w:sz w:val="24"/>
          <w:szCs w:val="24"/>
          <w:lang w:val="en"/>
        </w:rPr>
        <w:t xml:space="preserve"> is not a recommended combination of antibiotics for pneumococcal meningitis.  As stated above, cefotaxime is appropriate for penicillin – intermediate</w:t>
      </w:r>
      <w:r w:rsidR="009B73CB" w:rsidRPr="009B73CB">
        <w:rPr>
          <w:rFonts w:ascii="Times New Roman" w:hAnsi="Times New Roman" w:cs="Times New Roman"/>
          <w:i/>
          <w:sz w:val="24"/>
          <w:szCs w:val="24"/>
          <w:lang w:val="en"/>
        </w:rPr>
        <w:t xml:space="preserve"> Streptococcus </w:t>
      </w:r>
      <w:r w:rsidR="009B73CB" w:rsidRPr="009B73CB">
        <w:rPr>
          <w:rFonts w:ascii="Times New Roman" w:hAnsi="Times New Roman" w:cs="Times New Roman"/>
          <w:i/>
          <w:sz w:val="24"/>
          <w:szCs w:val="24"/>
          <w:lang w:val="en"/>
        </w:rPr>
        <w:lastRenderedPageBreak/>
        <w:t>pneumoniae</w:t>
      </w:r>
      <w:r w:rsidR="009B73CB">
        <w:rPr>
          <w:rFonts w:ascii="Times New Roman" w:hAnsi="Times New Roman" w:cs="Times New Roman"/>
          <w:sz w:val="24"/>
          <w:szCs w:val="24"/>
          <w:lang w:val="en"/>
        </w:rPr>
        <w:t xml:space="preserve">.  Ampicillin is indicated as monotherapy for </w:t>
      </w:r>
      <w:r w:rsidR="009B73CB" w:rsidRPr="009B73CB">
        <w:rPr>
          <w:rFonts w:ascii="Times New Roman" w:hAnsi="Times New Roman" w:cs="Times New Roman"/>
          <w:i/>
          <w:sz w:val="24"/>
          <w:szCs w:val="24"/>
          <w:lang w:val="en"/>
        </w:rPr>
        <w:t>Neisseria</w:t>
      </w:r>
      <w:r w:rsidR="009B73CB">
        <w:rPr>
          <w:rFonts w:ascii="Times New Roman" w:hAnsi="Times New Roman" w:cs="Times New Roman"/>
          <w:sz w:val="24"/>
          <w:szCs w:val="24"/>
          <w:lang w:val="en"/>
        </w:rPr>
        <w:t xml:space="preserve"> </w:t>
      </w:r>
      <w:r w:rsidR="009B73CB" w:rsidRPr="009B73CB">
        <w:rPr>
          <w:rFonts w:ascii="Times New Roman" w:hAnsi="Times New Roman" w:cs="Times New Roman"/>
          <w:i/>
          <w:sz w:val="24"/>
          <w:szCs w:val="24"/>
          <w:lang w:val="en"/>
        </w:rPr>
        <w:t>meningitidis</w:t>
      </w:r>
      <w:r w:rsidR="009B73CB">
        <w:rPr>
          <w:rFonts w:ascii="Times New Roman" w:hAnsi="Times New Roman" w:cs="Times New Roman"/>
          <w:sz w:val="24"/>
          <w:szCs w:val="24"/>
          <w:lang w:val="en"/>
        </w:rPr>
        <w:t xml:space="preserve"> and </w:t>
      </w:r>
      <w:r w:rsidR="009B73CB" w:rsidRPr="009B73CB">
        <w:rPr>
          <w:rFonts w:ascii="Times New Roman" w:hAnsi="Times New Roman" w:cs="Times New Roman"/>
          <w:i/>
          <w:sz w:val="24"/>
          <w:szCs w:val="24"/>
          <w:lang w:val="en"/>
        </w:rPr>
        <w:t>Streptococcus agalactiae</w:t>
      </w:r>
      <w:r w:rsidR="009B73CB">
        <w:rPr>
          <w:rFonts w:ascii="Times New Roman" w:hAnsi="Times New Roman" w:cs="Times New Roman"/>
          <w:sz w:val="24"/>
          <w:szCs w:val="24"/>
          <w:lang w:val="en"/>
        </w:rPr>
        <w:t xml:space="preserve">, as well as treatment for </w:t>
      </w:r>
      <w:r w:rsidR="009B73CB" w:rsidRPr="009B73CB">
        <w:rPr>
          <w:rFonts w:ascii="Times New Roman" w:hAnsi="Times New Roman" w:cs="Times New Roman"/>
          <w:i/>
          <w:sz w:val="24"/>
          <w:szCs w:val="24"/>
          <w:lang w:val="en"/>
        </w:rPr>
        <w:t xml:space="preserve">Listeria monocytogenes </w:t>
      </w:r>
      <w:r w:rsidR="009B73CB">
        <w:rPr>
          <w:rFonts w:ascii="Times New Roman" w:hAnsi="Times New Roman" w:cs="Times New Roman"/>
          <w:sz w:val="24"/>
          <w:szCs w:val="24"/>
          <w:lang w:val="en"/>
        </w:rPr>
        <w:t>with the addition of gentamicin (Longo et al., 2010).</w:t>
      </w:r>
    </w:p>
    <w:p w:rsidR="002E0165" w:rsidRPr="00906C7F" w:rsidRDefault="002E0165" w:rsidP="009B73CB">
      <w:pPr>
        <w:spacing w:line="480" w:lineRule="auto"/>
        <w:contextualSpacing/>
        <w:rPr>
          <w:rFonts w:ascii="Times New Roman" w:hAnsi="Times New Roman" w:cs="Times New Roman"/>
          <w:b/>
          <w:sz w:val="24"/>
          <w:szCs w:val="24"/>
          <w:lang w:val="en"/>
        </w:rPr>
      </w:pPr>
      <w:r w:rsidRPr="00906C7F">
        <w:rPr>
          <w:rFonts w:ascii="Times New Roman" w:hAnsi="Times New Roman" w:cs="Times New Roman"/>
          <w:b/>
          <w:sz w:val="24"/>
          <w:szCs w:val="24"/>
          <w:lang w:val="en"/>
        </w:rPr>
        <w:t>4.  Complete the following table.  Provide references at the end of the table.</w:t>
      </w:r>
    </w:p>
    <w:p w:rsidR="002E0165" w:rsidRDefault="002E0165" w:rsidP="009B73CB">
      <w:pPr>
        <w:spacing w:line="480" w:lineRule="auto"/>
        <w:contextualSpacing/>
        <w:rPr>
          <w:rFonts w:ascii="Times New Roman" w:hAnsi="Times New Roman" w:cs="Times New Roman"/>
          <w:sz w:val="24"/>
          <w:szCs w:val="24"/>
          <w:lang w:val="en"/>
        </w:rPr>
      </w:pPr>
      <w:r>
        <w:rPr>
          <w:rFonts w:ascii="Times New Roman" w:hAnsi="Times New Roman" w:cs="Times New Roman"/>
          <w:sz w:val="24"/>
          <w:szCs w:val="24"/>
          <w:lang w:val="en"/>
        </w:rPr>
        <w:t>Table 2</w:t>
      </w:r>
    </w:p>
    <w:p w:rsidR="002E0165" w:rsidRDefault="002E0165" w:rsidP="009B73CB">
      <w:pPr>
        <w:spacing w:line="480" w:lineRule="auto"/>
        <w:contextualSpacing/>
        <w:rPr>
          <w:rFonts w:ascii="Times New Roman" w:hAnsi="Times New Roman" w:cs="Times New Roman"/>
          <w:sz w:val="24"/>
          <w:szCs w:val="24"/>
          <w:lang w:val="en"/>
        </w:rPr>
      </w:pPr>
      <w:r w:rsidRPr="002E0165">
        <w:rPr>
          <w:rFonts w:ascii="Times New Roman" w:hAnsi="Times New Roman" w:cs="Times New Roman"/>
          <w:i/>
          <w:sz w:val="24"/>
          <w:szCs w:val="24"/>
          <w:lang w:val="en"/>
        </w:rPr>
        <w:t>Cerebrospinal Fluid Analysis and Meningitis</w:t>
      </w:r>
    </w:p>
    <w:tbl>
      <w:tblPr>
        <w:tblStyle w:val="TableGrid"/>
        <w:tblW w:w="0" w:type="auto"/>
        <w:tblLayout w:type="fixed"/>
        <w:tblLook w:val="04A0" w:firstRow="1" w:lastRow="0" w:firstColumn="1" w:lastColumn="0" w:noHBand="0" w:noVBand="1"/>
      </w:tblPr>
      <w:tblGrid>
        <w:gridCol w:w="1544"/>
        <w:gridCol w:w="994"/>
        <w:gridCol w:w="2133"/>
        <w:gridCol w:w="1443"/>
        <w:gridCol w:w="1960"/>
        <w:gridCol w:w="1502"/>
      </w:tblGrid>
      <w:tr w:rsidR="002E0165" w:rsidTr="00255FCD">
        <w:tc>
          <w:tcPr>
            <w:tcW w:w="1544"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Measurement</w:t>
            </w:r>
          </w:p>
        </w:tc>
        <w:tc>
          <w:tcPr>
            <w:tcW w:w="994"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Normal</w:t>
            </w:r>
          </w:p>
        </w:tc>
        <w:tc>
          <w:tcPr>
            <w:tcW w:w="2133"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Bacterial meningitis</w:t>
            </w:r>
          </w:p>
        </w:tc>
        <w:tc>
          <w:tcPr>
            <w:tcW w:w="1443"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Aseptic meningitis (viral)</w:t>
            </w:r>
          </w:p>
        </w:tc>
        <w:tc>
          <w:tcPr>
            <w:tcW w:w="1960"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Granulomatous meningitis (mycobacterial, fungal)</w:t>
            </w:r>
          </w:p>
        </w:tc>
        <w:tc>
          <w:tcPr>
            <w:tcW w:w="1502"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Spirochetal meningitis</w:t>
            </w:r>
          </w:p>
        </w:tc>
      </w:tr>
      <w:tr w:rsidR="002E0165" w:rsidTr="00255FCD">
        <w:tc>
          <w:tcPr>
            <w:tcW w:w="1544"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Opening pressure (mm H2O)</w:t>
            </w:r>
          </w:p>
        </w:tc>
        <w:tc>
          <w:tcPr>
            <w:tcW w:w="994"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70 – 180</w:t>
            </w:r>
          </w:p>
        </w:tc>
        <w:tc>
          <w:tcPr>
            <w:tcW w:w="2133"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200 – 500</w:t>
            </w:r>
          </w:p>
        </w:tc>
        <w:tc>
          <w:tcPr>
            <w:tcW w:w="1443"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Normal</w:t>
            </w:r>
          </w:p>
        </w:tc>
        <w:tc>
          <w:tcPr>
            <w:tcW w:w="1960"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&gt; 250</w:t>
            </w:r>
          </w:p>
        </w:tc>
        <w:tc>
          <w:tcPr>
            <w:tcW w:w="1502" w:type="dxa"/>
          </w:tcPr>
          <w:p w:rsidR="002E0165" w:rsidRDefault="00255FCD"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Normal to slightly elevated</w:t>
            </w:r>
          </w:p>
        </w:tc>
      </w:tr>
      <w:tr w:rsidR="002E0165" w:rsidTr="00255FCD">
        <w:tc>
          <w:tcPr>
            <w:tcW w:w="1544"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WBC’s</w:t>
            </w:r>
          </w:p>
          <w:p w:rsidR="002E0165" w:rsidRDefault="002E0165" w:rsidP="002E0165">
            <w:pPr>
              <w:contextualSpacing/>
              <w:rPr>
                <w:rFonts w:ascii="Times New Roman" w:hAnsi="Times New Roman" w:cs="Times New Roman"/>
                <w:sz w:val="24"/>
                <w:szCs w:val="24"/>
                <w:lang w:val="en"/>
              </w:rPr>
            </w:pPr>
          </w:p>
        </w:tc>
        <w:tc>
          <w:tcPr>
            <w:tcW w:w="994" w:type="dxa"/>
          </w:tcPr>
          <w:p w:rsidR="002E0165" w:rsidRDefault="002E5C5E" w:rsidP="00255FCD">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0</w:t>
            </w:r>
            <w:r w:rsidR="00255FCD">
              <w:rPr>
                <w:rFonts w:ascii="Times New Roman" w:hAnsi="Times New Roman" w:cs="Times New Roman"/>
                <w:sz w:val="24"/>
                <w:szCs w:val="24"/>
                <w:lang w:val="en"/>
              </w:rPr>
              <w:t xml:space="preserve"> – </w:t>
            </w:r>
            <w:r>
              <w:rPr>
                <w:rFonts w:ascii="Times New Roman" w:hAnsi="Times New Roman" w:cs="Times New Roman"/>
                <w:sz w:val="24"/>
                <w:szCs w:val="24"/>
                <w:lang w:val="en"/>
              </w:rPr>
              <w:t>5</w:t>
            </w:r>
          </w:p>
        </w:tc>
        <w:tc>
          <w:tcPr>
            <w:tcW w:w="2133"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200 – 20,000 polymorphonuclear neutrophils</w:t>
            </w:r>
          </w:p>
        </w:tc>
        <w:tc>
          <w:tcPr>
            <w:tcW w:w="1443"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25 – 2,000 mostly lymphocytes</w:t>
            </w:r>
          </w:p>
        </w:tc>
        <w:tc>
          <w:tcPr>
            <w:tcW w:w="1960" w:type="dxa"/>
          </w:tcPr>
          <w:p w:rsidR="002E0165" w:rsidRDefault="00255FCD"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100 – 1,000 mostly lymphocytes</w:t>
            </w:r>
          </w:p>
        </w:tc>
        <w:tc>
          <w:tcPr>
            <w:tcW w:w="1502" w:type="dxa"/>
          </w:tcPr>
          <w:p w:rsidR="002E0165" w:rsidRDefault="00255FCD"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100 – 1,000 mostly lymphocytes</w:t>
            </w:r>
          </w:p>
        </w:tc>
      </w:tr>
      <w:tr w:rsidR="002E0165" w:rsidTr="00255FCD">
        <w:tc>
          <w:tcPr>
            <w:tcW w:w="1544"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Glucose (mg/dL)</w:t>
            </w:r>
          </w:p>
        </w:tc>
        <w:tc>
          <w:tcPr>
            <w:tcW w:w="994"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45 – 85</w:t>
            </w:r>
          </w:p>
        </w:tc>
        <w:tc>
          <w:tcPr>
            <w:tcW w:w="2133"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&lt;45</w:t>
            </w:r>
          </w:p>
        </w:tc>
        <w:tc>
          <w:tcPr>
            <w:tcW w:w="1443"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30 – 70</w:t>
            </w:r>
          </w:p>
        </w:tc>
        <w:tc>
          <w:tcPr>
            <w:tcW w:w="1960" w:type="dxa"/>
          </w:tcPr>
          <w:p w:rsidR="002E0165" w:rsidRDefault="00255FCD" w:rsidP="00255FCD">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30 – 70</w:t>
            </w:r>
          </w:p>
        </w:tc>
        <w:tc>
          <w:tcPr>
            <w:tcW w:w="1502" w:type="dxa"/>
          </w:tcPr>
          <w:p w:rsidR="002E0165" w:rsidRDefault="00255FCD"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45 – 85</w:t>
            </w:r>
          </w:p>
        </w:tc>
      </w:tr>
      <w:tr w:rsidR="002E0165" w:rsidTr="00255FCD">
        <w:tc>
          <w:tcPr>
            <w:tcW w:w="1544" w:type="dxa"/>
          </w:tcPr>
          <w:p w:rsidR="002E0165" w:rsidRDefault="002E0165" w:rsidP="002E0165">
            <w:pPr>
              <w:contextualSpacing/>
              <w:rPr>
                <w:rFonts w:ascii="Times New Roman" w:hAnsi="Times New Roman" w:cs="Times New Roman"/>
                <w:sz w:val="24"/>
                <w:szCs w:val="24"/>
                <w:lang w:val="en"/>
              </w:rPr>
            </w:pPr>
            <w:r>
              <w:rPr>
                <w:rFonts w:ascii="Times New Roman" w:hAnsi="Times New Roman" w:cs="Times New Roman"/>
                <w:sz w:val="24"/>
                <w:szCs w:val="24"/>
                <w:lang w:val="en"/>
              </w:rPr>
              <w:t>Protein (mg/dL)</w:t>
            </w:r>
          </w:p>
        </w:tc>
        <w:tc>
          <w:tcPr>
            <w:tcW w:w="994"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15 – 45</w:t>
            </w:r>
          </w:p>
        </w:tc>
        <w:tc>
          <w:tcPr>
            <w:tcW w:w="2133" w:type="dxa"/>
          </w:tcPr>
          <w:p w:rsidR="002E0165" w:rsidRDefault="00255FCD"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100 – 500</w:t>
            </w:r>
          </w:p>
        </w:tc>
        <w:tc>
          <w:tcPr>
            <w:tcW w:w="1443" w:type="dxa"/>
          </w:tcPr>
          <w:p w:rsidR="002E0165" w:rsidRDefault="002E5C5E"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30 – 150</w:t>
            </w:r>
          </w:p>
        </w:tc>
        <w:tc>
          <w:tcPr>
            <w:tcW w:w="1960" w:type="dxa"/>
          </w:tcPr>
          <w:p w:rsidR="002E0165" w:rsidRDefault="00255FCD"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40 – 150</w:t>
            </w:r>
          </w:p>
        </w:tc>
        <w:tc>
          <w:tcPr>
            <w:tcW w:w="1502" w:type="dxa"/>
          </w:tcPr>
          <w:p w:rsidR="002E0165" w:rsidRDefault="00255FCD" w:rsidP="002E0165">
            <w:pPr>
              <w:contextualSpacing/>
              <w:jc w:val="center"/>
              <w:rPr>
                <w:rFonts w:ascii="Times New Roman" w:hAnsi="Times New Roman" w:cs="Times New Roman"/>
                <w:sz w:val="24"/>
                <w:szCs w:val="24"/>
                <w:lang w:val="en"/>
              </w:rPr>
            </w:pPr>
            <w:r>
              <w:rPr>
                <w:rFonts w:ascii="Times New Roman" w:hAnsi="Times New Roman" w:cs="Times New Roman"/>
                <w:sz w:val="24"/>
                <w:szCs w:val="24"/>
                <w:lang w:val="en"/>
              </w:rPr>
              <w:t>&gt;50</w:t>
            </w:r>
          </w:p>
        </w:tc>
      </w:tr>
    </w:tbl>
    <w:p w:rsidR="009C2A02" w:rsidRDefault="004268CB" w:rsidP="009B73CB">
      <w:pPr>
        <w:spacing w:line="480" w:lineRule="auto"/>
        <w:contextualSpacing/>
        <w:rPr>
          <w:rFonts w:ascii="Times New Roman" w:hAnsi="Times New Roman" w:cs="Times New Roman"/>
          <w:sz w:val="24"/>
          <w:szCs w:val="24"/>
          <w:lang w:val="en"/>
        </w:rPr>
      </w:pPr>
      <w:r w:rsidRPr="004268CB">
        <w:rPr>
          <w:rFonts w:ascii="Times New Roman" w:hAnsi="Times New Roman" w:cs="Times New Roman"/>
          <w:i/>
          <w:sz w:val="24"/>
          <w:szCs w:val="24"/>
          <w:lang w:val="en"/>
        </w:rPr>
        <w:t>Note.</w:t>
      </w:r>
      <w:r w:rsidR="009C2A02">
        <w:rPr>
          <w:rFonts w:ascii="Times New Roman" w:hAnsi="Times New Roman" w:cs="Times New Roman"/>
          <w:sz w:val="24"/>
          <w:szCs w:val="24"/>
          <w:lang w:val="en"/>
        </w:rPr>
        <w:t xml:space="preserve">  Table information from (McPhee &amp; Papadakis, 2011; Longo et al., 2012)</w:t>
      </w:r>
    </w:p>
    <w:p w:rsidR="00906C7F" w:rsidRDefault="00906C7F" w:rsidP="009B73CB">
      <w:pPr>
        <w:spacing w:line="480" w:lineRule="auto"/>
        <w:contextualSpacing/>
        <w:rPr>
          <w:rFonts w:ascii="Times New Roman" w:hAnsi="Times New Roman" w:cs="Times New Roman"/>
          <w:b/>
          <w:sz w:val="24"/>
          <w:szCs w:val="24"/>
          <w:lang w:val="en"/>
        </w:rPr>
      </w:pPr>
      <w:r w:rsidRPr="00906C7F">
        <w:rPr>
          <w:rFonts w:ascii="Times New Roman" w:hAnsi="Times New Roman" w:cs="Times New Roman"/>
          <w:b/>
          <w:sz w:val="24"/>
          <w:szCs w:val="24"/>
          <w:lang w:val="en"/>
        </w:rPr>
        <w:t>5.  Should this</w:t>
      </w:r>
      <w:r w:rsidR="0005073B">
        <w:rPr>
          <w:rFonts w:ascii="Times New Roman" w:hAnsi="Times New Roman" w:cs="Times New Roman"/>
          <w:b/>
          <w:sz w:val="24"/>
          <w:szCs w:val="24"/>
          <w:lang w:val="en"/>
        </w:rPr>
        <w:t xml:space="preserve"> patient receive</w:t>
      </w:r>
      <w:r w:rsidRPr="00906C7F">
        <w:rPr>
          <w:rFonts w:ascii="Times New Roman" w:hAnsi="Times New Roman" w:cs="Times New Roman"/>
          <w:b/>
          <w:sz w:val="24"/>
          <w:szCs w:val="24"/>
          <w:lang w:val="en"/>
        </w:rPr>
        <w:t xml:space="preserve"> adjuvant therapy with dexamethasone?  Explain your answer.</w:t>
      </w:r>
    </w:p>
    <w:p w:rsidR="00566F7A" w:rsidRDefault="001D7361" w:rsidP="005D5814">
      <w:pPr>
        <w:spacing w:line="480" w:lineRule="auto"/>
        <w:contextualSpacing/>
        <w:rPr>
          <w:rFonts w:ascii="Times New Roman" w:hAnsi="Times New Roman" w:cs="Times New Roman"/>
          <w:sz w:val="24"/>
          <w:szCs w:val="24"/>
          <w:lang w:val="en"/>
        </w:rPr>
      </w:pPr>
      <w:r w:rsidRPr="005D5814">
        <w:rPr>
          <w:rFonts w:ascii="Times New Roman" w:hAnsi="Times New Roman" w:cs="Times New Roman"/>
          <w:sz w:val="24"/>
          <w:szCs w:val="24"/>
          <w:lang w:val="en"/>
        </w:rPr>
        <w:tab/>
      </w:r>
      <w:r w:rsidR="00ED24B9" w:rsidRPr="005D5814">
        <w:rPr>
          <w:rFonts w:ascii="Times New Roman" w:hAnsi="Times New Roman" w:cs="Times New Roman"/>
          <w:sz w:val="24"/>
          <w:szCs w:val="24"/>
          <w:lang w:val="en"/>
        </w:rPr>
        <w:t>The answer to this question is yes</w:t>
      </w:r>
      <w:r w:rsidR="005D5814">
        <w:rPr>
          <w:rFonts w:ascii="Times New Roman" w:hAnsi="Times New Roman" w:cs="Times New Roman"/>
          <w:sz w:val="24"/>
          <w:szCs w:val="24"/>
          <w:lang w:val="en"/>
        </w:rPr>
        <w:t>,</w:t>
      </w:r>
      <w:r w:rsidR="00ED24B9" w:rsidRPr="005D5814">
        <w:rPr>
          <w:rFonts w:ascii="Times New Roman" w:hAnsi="Times New Roman" w:cs="Times New Roman"/>
          <w:sz w:val="24"/>
          <w:szCs w:val="24"/>
          <w:lang w:val="en"/>
        </w:rPr>
        <w:t xml:space="preserve"> the patient should receive dexamethasone therapy in conjunction with empiric antibiotic coverage.  </w:t>
      </w:r>
      <w:r w:rsidR="005D5814">
        <w:rPr>
          <w:rFonts w:ascii="Times New Roman" w:hAnsi="Times New Roman" w:cs="Times New Roman"/>
          <w:sz w:val="24"/>
          <w:szCs w:val="24"/>
          <w:lang w:val="en"/>
        </w:rPr>
        <w:t xml:space="preserve">Dexamethasone therapy is used to help reduce the inflammation from the infection in hopes of decreasing the amount of neurological damage and to reduce mortality in patients with bacterial meningitis.  </w:t>
      </w:r>
      <w:r w:rsidRPr="001D7361">
        <w:rPr>
          <w:rFonts w:ascii="Times New Roman" w:hAnsi="Times New Roman" w:cs="Times New Roman"/>
          <w:sz w:val="24"/>
          <w:szCs w:val="24"/>
          <w:lang w:val="en"/>
        </w:rPr>
        <w:t>There have been several studies</w:t>
      </w:r>
      <w:r>
        <w:rPr>
          <w:rFonts w:ascii="Times New Roman" w:hAnsi="Times New Roman" w:cs="Times New Roman"/>
          <w:sz w:val="24"/>
          <w:szCs w:val="24"/>
          <w:lang w:val="en"/>
        </w:rPr>
        <w:t xml:space="preserve"> done on the use of dexamethasone for patients with bacterial meningitis.  There has been conflicting evidence among the studies.  There have been studies that have reported no differences between the dexamethasone group</w:t>
      </w:r>
      <w:r w:rsidR="005D5814">
        <w:rPr>
          <w:rFonts w:ascii="Times New Roman" w:hAnsi="Times New Roman" w:cs="Times New Roman"/>
          <w:sz w:val="24"/>
          <w:szCs w:val="24"/>
          <w:lang w:val="en"/>
        </w:rPr>
        <w:t xml:space="preserve"> versus </w:t>
      </w:r>
      <w:r w:rsidR="002D17D9">
        <w:rPr>
          <w:rFonts w:ascii="Times New Roman" w:hAnsi="Times New Roman" w:cs="Times New Roman"/>
          <w:sz w:val="24"/>
          <w:szCs w:val="24"/>
          <w:lang w:val="en"/>
        </w:rPr>
        <w:t>the placebo group in hearing loss</w:t>
      </w:r>
      <w:r w:rsidR="005D5814">
        <w:rPr>
          <w:rFonts w:ascii="Times New Roman" w:hAnsi="Times New Roman" w:cs="Times New Roman"/>
          <w:sz w:val="24"/>
          <w:szCs w:val="24"/>
          <w:lang w:val="en"/>
        </w:rPr>
        <w:t xml:space="preserve"> or in a reduction of mortality</w:t>
      </w:r>
      <w:r w:rsidR="002D17D9">
        <w:rPr>
          <w:rFonts w:ascii="Times New Roman" w:hAnsi="Times New Roman" w:cs="Times New Roman"/>
          <w:sz w:val="24"/>
          <w:szCs w:val="24"/>
          <w:lang w:val="en"/>
        </w:rPr>
        <w:t xml:space="preserve">.  </w:t>
      </w:r>
      <w:r w:rsidR="002D17D9">
        <w:rPr>
          <w:rFonts w:ascii="Times New Roman" w:hAnsi="Times New Roman" w:cs="Times New Roman"/>
          <w:sz w:val="24"/>
          <w:szCs w:val="24"/>
          <w:lang w:val="en"/>
        </w:rPr>
        <w:lastRenderedPageBreak/>
        <w:t>Other</w:t>
      </w:r>
      <w:r>
        <w:rPr>
          <w:rFonts w:ascii="Times New Roman" w:hAnsi="Times New Roman" w:cs="Times New Roman"/>
          <w:sz w:val="24"/>
          <w:szCs w:val="24"/>
          <w:lang w:val="en"/>
        </w:rPr>
        <w:t xml:space="preserve"> studies </w:t>
      </w:r>
      <w:r w:rsidR="002D17D9">
        <w:rPr>
          <w:rFonts w:ascii="Times New Roman" w:hAnsi="Times New Roman" w:cs="Times New Roman"/>
          <w:sz w:val="24"/>
          <w:szCs w:val="24"/>
          <w:lang w:val="en"/>
        </w:rPr>
        <w:t xml:space="preserve">have shown </w:t>
      </w:r>
      <w:r>
        <w:rPr>
          <w:rFonts w:ascii="Times New Roman" w:hAnsi="Times New Roman" w:cs="Times New Roman"/>
          <w:sz w:val="24"/>
          <w:szCs w:val="24"/>
          <w:lang w:val="en"/>
        </w:rPr>
        <w:t xml:space="preserve">benefits with neurological </w:t>
      </w:r>
      <w:r w:rsidR="002D17D9">
        <w:rPr>
          <w:rFonts w:ascii="Times New Roman" w:hAnsi="Times New Roman" w:cs="Times New Roman"/>
          <w:sz w:val="24"/>
          <w:szCs w:val="24"/>
          <w:lang w:val="en"/>
        </w:rPr>
        <w:t>and/</w:t>
      </w:r>
      <w:r>
        <w:rPr>
          <w:rFonts w:ascii="Times New Roman" w:hAnsi="Times New Roman" w:cs="Times New Roman"/>
          <w:sz w:val="24"/>
          <w:szCs w:val="24"/>
          <w:lang w:val="en"/>
        </w:rPr>
        <w:t xml:space="preserve">or hearing deficits as well as a reduction in mortality rate in patients with specifically pneumococcal meningitis. </w:t>
      </w:r>
      <w:r w:rsidR="00ED24B9">
        <w:rPr>
          <w:rFonts w:ascii="Times New Roman" w:hAnsi="Times New Roman" w:cs="Times New Roman"/>
          <w:sz w:val="24"/>
          <w:szCs w:val="24"/>
          <w:lang w:val="en"/>
        </w:rPr>
        <w:t xml:space="preserve"> </w:t>
      </w:r>
      <w:r w:rsidR="007642B7">
        <w:rPr>
          <w:rFonts w:ascii="Times New Roman" w:hAnsi="Times New Roman" w:cs="Times New Roman"/>
          <w:sz w:val="24"/>
          <w:szCs w:val="24"/>
          <w:lang w:val="en"/>
        </w:rPr>
        <w:t xml:space="preserve">The potential reason for such differences between the studies was related to the location of the studies.  There was a high reduction in neurologic symptoms and a slight benefit in mortality reduction in bacterial meningitis shown in patients from high-income countries, but there were no benefits of dexamethasone therapy for patients from low-income countries.  </w:t>
      </w:r>
      <w:r w:rsidR="00ED24B9">
        <w:rPr>
          <w:rFonts w:ascii="Times New Roman" w:hAnsi="Times New Roman" w:cs="Times New Roman"/>
          <w:sz w:val="24"/>
          <w:szCs w:val="24"/>
          <w:lang w:val="en"/>
        </w:rPr>
        <w:t>A recent Cochrane meta-analysis showed a significant decrease in hearing loss and neurological sequelae in bacterial meningitis patients that were treated with dexamethasone, but there was no reduction in overall mortality (Brouwer, McIntyre, Prasad,</w:t>
      </w:r>
      <w:r w:rsidR="00014100">
        <w:rPr>
          <w:rFonts w:ascii="Times New Roman" w:hAnsi="Times New Roman" w:cs="Times New Roman"/>
          <w:sz w:val="24"/>
          <w:szCs w:val="24"/>
          <w:lang w:val="en"/>
        </w:rPr>
        <w:t xml:space="preserve"> </w:t>
      </w:r>
      <w:r w:rsidR="00ED24B9">
        <w:rPr>
          <w:rFonts w:ascii="Times New Roman" w:hAnsi="Times New Roman" w:cs="Times New Roman"/>
          <w:sz w:val="24"/>
          <w:szCs w:val="24"/>
          <w:lang w:val="en"/>
        </w:rPr>
        <w:t>&amp; van de Beek, 2013).</w:t>
      </w:r>
      <w:r w:rsidR="005D5814">
        <w:rPr>
          <w:rFonts w:ascii="Times New Roman" w:hAnsi="Times New Roman" w:cs="Times New Roman"/>
          <w:sz w:val="24"/>
          <w:szCs w:val="24"/>
          <w:lang w:val="en"/>
        </w:rPr>
        <w:t xml:space="preserve">  Currently the use of dexamethasone therapy for patients with suspected or known pneumococcal meningitis is stated in the guidelines from the Infectious Diseases Society of America, the European Federation of Neurological Sciences, the British Infection Society (Brouwer, Tunkel,</w:t>
      </w:r>
      <w:r w:rsidR="00014100">
        <w:rPr>
          <w:rFonts w:ascii="Times New Roman" w:hAnsi="Times New Roman" w:cs="Times New Roman"/>
          <w:sz w:val="24"/>
          <w:szCs w:val="24"/>
          <w:lang w:val="en"/>
        </w:rPr>
        <w:t xml:space="preserve"> </w:t>
      </w:r>
      <w:r w:rsidR="005D5814">
        <w:rPr>
          <w:rFonts w:ascii="Times New Roman" w:hAnsi="Times New Roman" w:cs="Times New Roman"/>
          <w:sz w:val="24"/>
          <w:szCs w:val="24"/>
          <w:lang w:val="en"/>
        </w:rPr>
        <w:t>&amp;</w:t>
      </w:r>
      <w:r w:rsidR="00014100">
        <w:rPr>
          <w:rFonts w:ascii="Times New Roman" w:hAnsi="Times New Roman" w:cs="Times New Roman"/>
          <w:sz w:val="24"/>
          <w:szCs w:val="24"/>
          <w:lang w:val="en"/>
        </w:rPr>
        <w:t xml:space="preserve"> </w:t>
      </w:r>
      <w:r w:rsidR="005D5814">
        <w:rPr>
          <w:rFonts w:ascii="Times New Roman" w:hAnsi="Times New Roman" w:cs="Times New Roman"/>
          <w:sz w:val="24"/>
          <w:szCs w:val="24"/>
          <w:lang w:val="en"/>
        </w:rPr>
        <w:t>van de Beek, 2010).  The American Academy of family physicians offices states dexamethasone therapy should be used in patients with suspected or known pneumococcal meningitis (Bamberger, 2010).</w:t>
      </w:r>
    </w:p>
    <w:p w:rsidR="00566F7A" w:rsidRDefault="00566F7A">
      <w:pPr>
        <w:rPr>
          <w:rFonts w:ascii="Times New Roman" w:hAnsi="Times New Roman" w:cs="Times New Roman"/>
          <w:sz w:val="24"/>
          <w:szCs w:val="24"/>
          <w:lang w:val="en"/>
        </w:rPr>
      </w:pPr>
      <w:r>
        <w:rPr>
          <w:rFonts w:ascii="Times New Roman" w:hAnsi="Times New Roman" w:cs="Times New Roman"/>
          <w:sz w:val="24"/>
          <w:szCs w:val="24"/>
          <w:lang w:val="en"/>
        </w:rPr>
        <w:br w:type="page"/>
      </w:r>
    </w:p>
    <w:p w:rsidR="0037192A" w:rsidRDefault="0037192A" w:rsidP="00566F7A">
      <w:pPr>
        <w:spacing w:line="480" w:lineRule="auto"/>
        <w:contextualSpacing/>
        <w:jc w:val="center"/>
        <w:rPr>
          <w:rFonts w:ascii="Times New Roman" w:hAnsi="Times New Roman" w:cs="Times New Roman"/>
          <w:b/>
          <w:sz w:val="24"/>
          <w:szCs w:val="24"/>
          <w:lang w:val="en"/>
        </w:rPr>
      </w:pPr>
      <w:r w:rsidRPr="0037192A">
        <w:rPr>
          <w:rFonts w:ascii="Times New Roman" w:hAnsi="Times New Roman" w:cs="Times New Roman"/>
          <w:b/>
          <w:sz w:val="24"/>
          <w:szCs w:val="24"/>
          <w:lang w:val="en"/>
        </w:rPr>
        <w:lastRenderedPageBreak/>
        <w:t>References</w:t>
      </w:r>
    </w:p>
    <w:p w:rsidR="00F066F3" w:rsidRDefault="00014100" w:rsidP="0037192A">
      <w:pPr>
        <w:spacing w:line="480" w:lineRule="auto"/>
        <w:ind w:left="720" w:hanging="720"/>
        <w:contextualSpacing/>
        <w:rPr>
          <w:rFonts w:ascii="Times New Roman" w:hAnsi="Times New Roman" w:cs="Times New Roman"/>
          <w:sz w:val="24"/>
          <w:szCs w:val="24"/>
          <w:lang w:val="en"/>
        </w:rPr>
      </w:pPr>
      <w:r>
        <w:rPr>
          <w:rFonts w:ascii="Times New Roman" w:hAnsi="Times New Roman" w:cs="Times New Roman"/>
          <w:sz w:val="24"/>
          <w:szCs w:val="24"/>
          <w:lang w:val="en"/>
        </w:rPr>
        <w:t>Bahn, R. S., Burch, H. B., Cooper, D. S., Garber, J. R., Greenlee, M. C., Klein, I., ... Stan, N. (2011).  Hyperthyroidism and other causes of thyrotoxicosis: Management guidelines of the American Thyroid Association and American Association of Clinical Endocrinologist</w:t>
      </w:r>
      <w:r w:rsidR="00F066F3">
        <w:rPr>
          <w:rFonts w:ascii="Times New Roman" w:hAnsi="Times New Roman" w:cs="Times New Roman"/>
          <w:sz w:val="24"/>
          <w:szCs w:val="24"/>
          <w:lang w:val="en"/>
        </w:rPr>
        <w:t>.</w:t>
      </w:r>
      <w:r w:rsidR="00F066F3" w:rsidRPr="00F066F3">
        <w:rPr>
          <w:rFonts w:ascii="Times New Roman" w:hAnsi="Times New Roman" w:cs="Times New Roman"/>
          <w:i/>
          <w:sz w:val="24"/>
          <w:szCs w:val="24"/>
          <w:lang w:val="en"/>
        </w:rPr>
        <w:t xml:space="preserve">  Endocrine </w:t>
      </w:r>
      <w:r w:rsidR="00F066F3">
        <w:rPr>
          <w:rFonts w:ascii="Times New Roman" w:hAnsi="Times New Roman" w:cs="Times New Roman"/>
          <w:i/>
          <w:sz w:val="24"/>
          <w:szCs w:val="24"/>
          <w:lang w:val="en"/>
        </w:rPr>
        <w:t>Practice, 17 (3),</w:t>
      </w:r>
      <w:r w:rsidR="00F066F3">
        <w:rPr>
          <w:rFonts w:ascii="Times New Roman" w:hAnsi="Times New Roman" w:cs="Times New Roman"/>
          <w:sz w:val="24"/>
          <w:szCs w:val="24"/>
          <w:lang w:val="en"/>
        </w:rPr>
        <w:t xml:space="preserve"> e1 – e65.  Retrieved from </w:t>
      </w:r>
      <w:hyperlink r:id="rId7" w:history="1">
        <w:r w:rsidR="00F066F3" w:rsidRPr="00036276">
          <w:rPr>
            <w:rStyle w:val="Hyperlink"/>
            <w:rFonts w:ascii="Times New Roman" w:hAnsi="Times New Roman" w:cs="Times New Roman"/>
            <w:sz w:val="24"/>
            <w:szCs w:val="24"/>
            <w:lang w:val="en"/>
          </w:rPr>
          <w:t>https://www.aace.com/files/hyper-guidelines-2011.pdf</w:t>
        </w:r>
      </w:hyperlink>
      <w:r w:rsidR="00F066F3">
        <w:rPr>
          <w:rFonts w:ascii="Times New Roman" w:hAnsi="Times New Roman" w:cs="Times New Roman"/>
          <w:sz w:val="24"/>
          <w:szCs w:val="24"/>
          <w:lang w:val="en"/>
        </w:rPr>
        <w:t xml:space="preserve"> </w:t>
      </w:r>
    </w:p>
    <w:p w:rsidR="00F066F3" w:rsidRDefault="00F066F3" w:rsidP="0037192A">
      <w:pPr>
        <w:spacing w:line="480" w:lineRule="auto"/>
        <w:ind w:left="720" w:hanging="720"/>
        <w:contextualSpacing/>
        <w:rPr>
          <w:rFonts w:ascii="Times New Roman" w:hAnsi="Times New Roman" w:cs="Times New Roman"/>
          <w:sz w:val="24"/>
          <w:szCs w:val="24"/>
          <w:lang w:val="en"/>
        </w:rPr>
      </w:pPr>
      <w:r>
        <w:rPr>
          <w:rFonts w:ascii="Times New Roman" w:hAnsi="Times New Roman" w:cs="Times New Roman"/>
          <w:sz w:val="24"/>
          <w:szCs w:val="24"/>
          <w:lang w:val="en"/>
        </w:rPr>
        <w:t xml:space="preserve">Bamberger, D. M. (2010). Diagnosis, initial management, and prevention of meningitis.  </w:t>
      </w:r>
      <w:r w:rsidRPr="00F066F3">
        <w:rPr>
          <w:rFonts w:ascii="Times New Roman" w:hAnsi="Times New Roman" w:cs="Times New Roman"/>
          <w:i/>
          <w:sz w:val="24"/>
          <w:szCs w:val="24"/>
          <w:lang w:val="en"/>
        </w:rPr>
        <w:t>American Family Physician</w:t>
      </w:r>
      <w:r>
        <w:rPr>
          <w:rFonts w:ascii="Times New Roman" w:hAnsi="Times New Roman" w:cs="Times New Roman"/>
          <w:i/>
          <w:sz w:val="24"/>
          <w:szCs w:val="24"/>
          <w:lang w:val="en"/>
        </w:rPr>
        <w:t>, 82,</w:t>
      </w:r>
      <w:r>
        <w:rPr>
          <w:rFonts w:ascii="Times New Roman" w:hAnsi="Times New Roman" w:cs="Times New Roman"/>
          <w:sz w:val="24"/>
          <w:szCs w:val="24"/>
          <w:lang w:val="en"/>
        </w:rPr>
        <w:t xml:space="preserve"> 1491 – 1498.  Retrieved from </w:t>
      </w:r>
      <w:hyperlink r:id="rId8" w:history="1">
        <w:r w:rsidRPr="00036276">
          <w:rPr>
            <w:rStyle w:val="Hyperlink"/>
            <w:rFonts w:ascii="Times New Roman" w:hAnsi="Times New Roman" w:cs="Times New Roman"/>
            <w:sz w:val="24"/>
            <w:szCs w:val="24"/>
            <w:lang w:val="en"/>
          </w:rPr>
          <w:t>http://www.aafp.org/afp/2010/1215/p1491.html</w:t>
        </w:r>
      </w:hyperlink>
      <w:r>
        <w:rPr>
          <w:rFonts w:ascii="Times New Roman" w:hAnsi="Times New Roman" w:cs="Times New Roman"/>
          <w:sz w:val="24"/>
          <w:szCs w:val="24"/>
          <w:lang w:val="en"/>
        </w:rPr>
        <w:t xml:space="preserve"> </w:t>
      </w:r>
    </w:p>
    <w:p w:rsidR="002C3D7C" w:rsidRDefault="00F066F3" w:rsidP="0037192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lang w:val="en"/>
        </w:rPr>
        <w:t>Brouwer, M.C., McIntyre, P.,</w:t>
      </w:r>
      <w:r w:rsidR="00300F06">
        <w:rPr>
          <w:rFonts w:ascii="Times New Roman" w:hAnsi="Times New Roman" w:cs="Times New Roman"/>
          <w:sz w:val="24"/>
          <w:szCs w:val="24"/>
          <w:lang w:val="en"/>
        </w:rPr>
        <w:t xml:space="preserve"> Prasad, K., &amp; van de Beek, D. (2013).  Corticosteroids for acute bacterial meningitis (Review).</w:t>
      </w:r>
      <w:r w:rsidR="00300F06" w:rsidRPr="00300F06">
        <w:rPr>
          <w:rFonts w:ascii="Times New Roman" w:hAnsi="Times New Roman" w:cs="Times New Roman"/>
          <w:i/>
          <w:iCs/>
          <w:sz w:val="24"/>
          <w:szCs w:val="24"/>
        </w:rPr>
        <w:t xml:space="preserve"> </w:t>
      </w:r>
      <w:r w:rsidR="00300F06" w:rsidRPr="00423B37">
        <w:rPr>
          <w:rFonts w:ascii="Times New Roman" w:hAnsi="Times New Roman" w:cs="Times New Roman"/>
          <w:i/>
          <w:iCs/>
          <w:sz w:val="24"/>
          <w:szCs w:val="24"/>
        </w:rPr>
        <w:t xml:space="preserve">Cochrane Database of Systematic Reviews </w:t>
      </w:r>
      <w:r w:rsidR="00300F06" w:rsidRPr="00423B37">
        <w:rPr>
          <w:rFonts w:ascii="Times New Roman" w:hAnsi="Times New Roman" w:cs="Times New Roman"/>
          <w:i/>
          <w:sz w:val="24"/>
          <w:szCs w:val="24"/>
        </w:rPr>
        <w:t>2013</w:t>
      </w:r>
      <w:r w:rsidR="00300F06">
        <w:rPr>
          <w:rFonts w:ascii="Times New Roman" w:hAnsi="Times New Roman" w:cs="Times New Roman"/>
          <w:i/>
          <w:sz w:val="24"/>
          <w:szCs w:val="24"/>
        </w:rPr>
        <w:t>, (6),</w:t>
      </w:r>
      <w:r w:rsidR="00300F06" w:rsidRPr="00300F06">
        <w:rPr>
          <w:rFonts w:ascii="AGaramond-Regular" w:hAnsi="AGaramond-Regular" w:cs="AGaramond-Regular"/>
          <w:sz w:val="18"/>
          <w:szCs w:val="18"/>
        </w:rPr>
        <w:t xml:space="preserve"> </w:t>
      </w:r>
      <w:r w:rsidR="002C3D7C" w:rsidRPr="002C3D7C">
        <w:rPr>
          <w:rFonts w:ascii="Times New Roman" w:hAnsi="Times New Roman" w:cs="Times New Roman"/>
          <w:sz w:val="24"/>
          <w:szCs w:val="24"/>
        </w:rPr>
        <w:t>doi</w:t>
      </w:r>
      <w:r w:rsidR="00300F06" w:rsidRPr="002C3D7C">
        <w:rPr>
          <w:rFonts w:ascii="Times New Roman" w:hAnsi="Times New Roman" w:cs="Times New Roman"/>
          <w:sz w:val="24"/>
          <w:szCs w:val="24"/>
        </w:rPr>
        <w:t>: 10.1002/14651858.CD004405.pub4.</w:t>
      </w:r>
    </w:p>
    <w:p w:rsidR="002C3D7C" w:rsidRDefault="002C3D7C" w:rsidP="0037192A">
      <w:pPr>
        <w:spacing w:line="480" w:lineRule="auto"/>
        <w:ind w:left="720" w:hanging="720"/>
        <w:contextualSpacing/>
        <w:rPr>
          <w:rFonts w:ascii="Times New Roman" w:hAnsi="Times New Roman" w:cs="Times New Roman"/>
          <w:sz w:val="24"/>
          <w:szCs w:val="24"/>
          <w:lang w:val="en"/>
        </w:rPr>
      </w:pPr>
      <w:r>
        <w:rPr>
          <w:rFonts w:ascii="Times New Roman" w:hAnsi="Times New Roman" w:cs="Times New Roman"/>
          <w:sz w:val="24"/>
          <w:szCs w:val="24"/>
          <w:lang w:val="en"/>
        </w:rPr>
        <w:t>Brouwer, M.C., Tunkel, A. R., &amp; van de Beek.  (2010)</w:t>
      </w:r>
      <w:r w:rsidR="0005073B">
        <w:rPr>
          <w:rFonts w:ascii="Times New Roman" w:hAnsi="Times New Roman" w:cs="Times New Roman"/>
          <w:sz w:val="24"/>
          <w:szCs w:val="24"/>
          <w:lang w:val="en"/>
        </w:rPr>
        <w:t>. Epidemiology</w:t>
      </w:r>
      <w:r>
        <w:rPr>
          <w:rFonts w:ascii="Times New Roman" w:hAnsi="Times New Roman" w:cs="Times New Roman"/>
          <w:sz w:val="24"/>
          <w:szCs w:val="24"/>
          <w:lang w:val="en"/>
        </w:rPr>
        <w:t>, diagnosis, and antimicrobial treatment of acute bacterial meningitis.</w:t>
      </w:r>
      <w:r w:rsidRPr="002C3D7C">
        <w:rPr>
          <w:rFonts w:ascii="Times New Roman" w:hAnsi="Times New Roman" w:cs="Times New Roman"/>
          <w:i/>
          <w:sz w:val="24"/>
          <w:szCs w:val="24"/>
          <w:lang w:val="en"/>
        </w:rPr>
        <w:t xml:space="preserve">  Clinical Microbiology Reviews</w:t>
      </w:r>
      <w:r>
        <w:rPr>
          <w:rFonts w:ascii="Times New Roman" w:hAnsi="Times New Roman" w:cs="Times New Roman"/>
          <w:sz w:val="24"/>
          <w:szCs w:val="24"/>
          <w:lang w:val="en"/>
        </w:rPr>
        <w:t xml:space="preserve">, </w:t>
      </w:r>
      <w:r w:rsidRPr="002C3D7C">
        <w:rPr>
          <w:rFonts w:ascii="Times New Roman" w:hAnsi="Times New Roman" w:cs="Times New Roman"/>
          <w:i/>
          <w:sz w:val="24"/>
          <w:szCs w:val="24"/>
          <w:lang w:val="en"/>
        </w:rPr>
        <w:t>23</w:t>
      </w:r>
      <w:r>
        <w:rPr>
          <w:rFonts w:ascii="Times New Roman" w:hAnsi="Times New Roman" w:cs="Times New Roman"/>
          <w:i/>
          <w:sz w:val="24"/>
          <w:szCs w:val="24"/>
          <w:lang w:val="en"/>
        </w:rPr>
        <w:t>,</w:t>
      </w:r>
      <w:r>
        <w:rPr>
          <w:rFonts w:ascii="Times New Roman" w:hAnsi="Times New Roman" w:cs="Times New Roman"/>
          <w:sz w:val="24"/>
          <w:szCs w:val="24"/>
          <w:lang w:val="en"/>
        </w:rPr>
        <w:t xml:space="preserve"> 467 – 491.  doi: 10.1128/CMR.00070 – 09</w:t>
      </w:r>
    </w:p>
    <w:p w:rsidR="00D7137E" w:rsidRDefault="002C3D7C" w:rsidP="0037192A">
      <w:pPr>
        <w:spacing w:line="480" w:lineRule="auto"/>
        <w:ind w:left="720" w:hanging="720"/>
        <w:contextualSpacing/>
        <w:rPr>
          <w:rFonts w:ascii="Times New Roman" w:hAnsi="Times New Roman" w:cs="Times New Roman"/>
          <w:sz w:val="24"/>
          <w:szCs w:val="24"/>
          <w:lang w:val="en"/>
        </w:rPr>
      </w:pPr>
      <w:r>
        <w:rPr>
          <w:rFonts w:ascii="Times New Roman" w:hAnsi="Times New Roman" w:cs="Times New Roman"/>
          <w:sz w:val="24"/>
          <w:szCs w:val="24"/>
          <w:lang w:val="en"/>
        </w:rPr>
        <w:t>Burch, H.B. &amp; Wartofsky, L</w:t>
      </w:r>
      <w:r w:rsidR="0005073B">
        <w:rPr>
          <w:rFonts w:ascii="Times New Roman" w:hAnsi="Times New Roman" w:cs="Times New Roman"/>
          <w:sz w:val="24"/>
          <w:szCs w:val="24"/>
          <w:lang w:val="en"/>
        </w:rPr>
        <w:t>. (</w:t>
      </w:r>
      <w:r>
        <w:rPr>
          <w:rFonts w:ascii="Times New Roman" w:hAnsi="Times New Roman" w:cs="Times New Roman"/>
          <w:sz w:val="24"/>
          <w:szCs w:val="24"/>
          <w:lang w:val="en"/>
        </w:rPr>
        <w:t>1993) life – threatening thyroid thyrotoxicosis. Thyroid storm.</w:t>
      </w:r>
      <w:r w:rsidR="003153CA" w:rsidRPr="003153CA">
        <w:rPr>
          <w:rFonts w:ascii="Times New Roman" w:hAnsi="Times New Roman" w:cs="Times New Roman"/>
          <w:i/>
          <w:sz w:val="24"/>
          <w:szCs w:val="24"/>
          <w:lang w:val="en"/>
        </w:rPr>
        <w:t xml:space="preserve">  Endocrinology and Metabolism Clinics of North America</w:t>
      </w:r>
      <w:r w:rsidR="003153CA">
        <w:rPr>
          <w:rFonts w:ascii="Times New Roman" w:hAnsi="Times New Roman" w:cs="Times New Roman"/>
          <w:sz w:val="24"/>
          <w:szCs w:val="24"/>
          <w:lang w:val="en"/>
        </w:rPr>
        <w:t xml:space="preserve">, </w:t>
      </w:r>
      <w:r w:rsidR="003153CA" w:rsidRPr="003153CA">
        <w:rPr>
          <w:rFonts w:ascii="Times New Roman" w:hAnsi="Times New Roman" w:cs="Times New Roman"/>
          <w:i/>
          <w:sz w:val="24"/>
          <w:szCs w:val="24"/>
          <w:lang w:val="en"/>
        </w:rPr>
        <w:t>22</w:t>
      </w:r>
      <w:r w:rsidR="003153CA">
        <w:rPr>
          <w:rFonts w:ascii="Times New Roman" w:hAnsi="Times New Roman" w:cs="Times New Roman"/>
          <w:i/>
          <w:sz w:val="24"/>
          <w:szCs w:val="24"/>
          <w:lang w:val="en"/>
        </w:rPr>
        <w:t>,</w:t>
      </w:r>
      <w:r w:rsidR="003153CA">
        <w:rPr>
          <w:rFonts w:ascii="Times New Roman" w:hAnsi="Times New Roman" w:cs="Times New Roman"/>
          <w:sz w:val="24"/>
          <w:szCs w:val="24"/>
          <w:lang w:val="en"/>
        </w:rPr>
        <w:t xml:space="preserve"> 263 – 277.  Retrieved from </w:t>
      </w:r>
      <w:hyperlink r:id="rId9" w:history="1">
        <w:r w:rsidR="003153CA" w:rsidRPr="00036276">
          <w:rPr>
            <w:rStyle w:val="Hyperlink"/>
            <w:rFonts w:ascii="Times New Roman" w:hAnsi="Times New Roman" w:cs="Times New Roman"/>
            <w:sz w:val="24"/>
            <w:szCs w:val="24"/>
            <w:lang w:val="en"/>
          </w:rPr>
          <w:t>http://www.ncbi.nlm.nih.gov/pubmed/8325286</w:t>
        </w:r>
      </w:hyperlink>
      <w:r w:rsidR="003153CA">
        <w:rPr>
          <w:rFonts w:ascii="Times New Roman" w:hAnsi="Times New Roman" w:cs="Times New Roman"/>
          <w:sz w:val="24"/>
          <w:szCs w:val="24"/>
          <w:lang w:val="en"/>
        </w:rPr>
        <w:t xml:space="preserve"> </w:t>
      </w:r>
    </w:p>
    <w:p w:rsidR="008F3100" w:rsidRDefault="008F3100" w:rsidP="008F3100">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Longo, D. L., Fauci, A. S., Kasper, D. L., Hauser, S. L., Jameson, J. L., &amp; Loscalzo, J. (2012).</w:t>
      </w:r>
      <w:r>
        <w:rPr>
          <w:rFonts w:ascii="Times New Roman" w:hAnsi="Times New Roman" w:cs="Times New Roman"/>
          <w:sz w:val="24"/>
          <w:szCs w:val="24"/>
        </w:rPr>
        <w:t xml:space="preserve">  Disorders of the thyroid gland. </w:t>
      </w:r>
      <w:r>
        <w:rPr>
          <w:rFonts w:ascii="Times New Roman" w:hAnsi="Times New Roman" w:cs="Times New Roman"/>
          <w:sz w:val="24"/>
          <w:szCs w:val="24"/>
        </w:rPr>
        <w:t xml:space="preserve"> Harrison’s principles of internal medicine 18</w:t>
      </w:r>
      <w:r w:rsidRPr="00EC3FA3">
        <w:rPr>
          <w:rFonts w:ascii="Times New Roman" w:hAnsi="Times New Roman" w:cs="Times New Roman"/>
          <w:sz w:val="24"/>
          <w:szCs w:val="24"/>
          <w:vertAlign w:val="superscript"/>
        </w:rPr>
        <w:t>th</w:t>
      </w:r>
      <w:r>
        <w:rPr>
          <w:rFonts w:ascii="Times New Roman" w:hAnsi="Times New Roman" w:cs="Times New Roman"/>
          <w:sz w:val="24"/>
          <w:szCs w:val="24"/>
        </w:rPr>
        <w:t xml:space="preserve"> ed (pp </w:t>
      </w:r>
      <w:r>
        <w:rPr>
          <w:rFonts w:ascii="Times New Roman" w:hAnsi="Times New Roman" w:cs="Times New Roman"/>
          <w:sz w:val="24"/>
          <w:szCs w:val="24"/>
        </w:rPr>
        <w:t>2911 – 2939</w:t>
      </w:r>
      <w:r>
        <w:rPr>
          <w:rFonts w:ascii="Times New Roman" w:hAnsi="Times New Roman" w:cs="Times New Roman"/>
          <w:sz w:val="24"/>
          <w:szCs w:val="24"/>
        </w:rPr>
        <w:t xml:space="preserve">). New York, NY: McGraw Hill </w:t>
      </w:r>
    </w:p>
    <w:p w:rsidR="008F3100" w:rsidRDefault="008F3100" w:rsidP="0037192A">
      <w:pPr>
        <w:spacing w:line="480" w:lineRule="auto"/>
        <w:ind w:left="720" w:hanging="720"/>
        <w:contextualSpacing/>
        <w:rPr>
          <w:rFonts w:ascii="Times New Roman" w:hAnsi="Times New Roman" w:cs="Times New Roman"/>
          <w:sz w:val="24"/>
          <w:szCs w:val="24"/>
          <w:lang w:val="en"/>
        </w:rPr>
      </w:pPr>
    </w:p>
    <w:p w:rsidR="008F3100" w:rsidRPr="008F3100" w:rsidRDefault="008F3100" w:rsidP="008F3100">
      <w:pPr>
        <w:autoSpaceDE w:val="0"/>
        <w:autoSpaceDN w:val="0"/>
        <w:adjustRightInd w:val="0"/>
        <w:spacing w:after="0"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Longo, D. L., Fauci, A. S., Kasper, D. L., Hauser, S. L., Jameson, J. L., &amp; Loscalzo, J. (2012). </w:t>
      </w:r>
      <w:r>
        <w:rPr>
          <w:rFonts w:ascii="Times New Roman" w:hAnsi="Times New Roman" w:cs="Times New Roman"/>
          <w:sz w:val="24"/>
          <w:szCs w:val="24"/>
        </w:rPr>
        <w:t xml:space="preserve"> Meningitis, encephalitis, brain abscess, and empyema.  </w:t>
      </w:r>
      <w:r>
        <w:rPr>
          <w:rFonts w:ascii="Times New Roman" w:hAnsi="Times New Roman" w:cs="Times New Roman"/>
          <w:sz w:val="24"/>
          <w:szCs w:val="24"/>
        </w:rPr>
        <w:t>Harrison’s principles of internal medicine 18</w:t>
      </w:r>
      <w:r w:rsidRPr="00EC3FA3">
        <w:rPr>
          <w:rFonts w:ascii="Times New Roman" w:hAnsi="Times New Roman" w:cs="Times New Roman"/>
          <w:sz w:val="24"/>
          <w:szCs w:val="24"/>
          <w:vertAlign w:val="superscript"/>
        </w:rPr>
        <w:t>th</w:t>
      </w:r>
      <w:r>
        <w:rPr>
          <w:rFonts w:ascii="Times New Roman" w:hAnsi="Times New Roman" w:cs="Times New Roman"/>
          <w:sz w:val="24"/>
          <w:szCs w:val="24"/>
        </w:rPr>
        <w:t xml:space="preserve"> ed (pp </w:t>
      </w:r>
      <w:r>
        <w:rPr>
          <w:rFonts w:ascii="Times New Roman" w:hAnsi="Times New Roman" w:cs="Times New Roman"/>
          <w:sz w:val="24"/>
          <w:szCs w:val="24"/>
        </w:rPr>
        <w:t>3410 – 3434</w:t>
      </w:r>
      <w:r>
        <w:rPr>
          <w:rFonts w:ascii="Times New Roman" w:hAnsi="Times New Roman" w:cs="Times New Roman"/>
          <w:sz w:val="24"/>
          <w:szCs w:val="24"/>
        </w:rPr>
        <w:t xml:space="preserve">). New York, NY: McGraw Hill </w:t>
      </w:r>
    </w:p>
    <w:p w:rsidR="00A634D9" w:rsidRPr="00A634D9" w:rsidRDefault="00A634D9" w:rsidP="00A634D9">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McPhee, S. J., &amp; Papadakis, M. A. (2011).  Hyperthyroidism (thyrotoxicosis). 2011 Current medical diagnosis and treatment (pp 1066-1075). New York, NY: McGraw Hill</w:t>
      </w:r>
    </w:p>
    <w:p w:rsidR="00A634D9" w:rsidRDefault="00185533" w:rsidP="00185533">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McPhee, S. J., &amp; Papadakis, M. A. (2011).</w:t>
      </w:r>
      <w:r w:rsidR="00A634D9">
        <w:rPr>
          <w:rFonts w:ascii="Times New Roman" w:hAnsi="Times New Roman" w:cs="Times New Roman"/>
          <w:sz w:val="24"/>
          <w:szCs w:val="24"/>
        </w:rPr>
        <w:t xml:space="preserve">  Infections of the central nervous system</w:t>
      </w:r>
      <w:r>
        <w:rPr>
          <w:rFonts w:ascii="Times New Roman" w:hAnsi="Times New Roman" w:cs="Times New Roman"/>
          <w:sz w:val="24"/>
          <w:szCs w:val="24"/>
        </w:rPr>
        <w:t xml:space="preserve">. 2011 Current medical diagnosis and treatment (pp </w:t>
      </w:r>
      <w:r w:rsidR="00A634D9">
        <w:rPr>
          <w:rFonts w:ascii="Times New Roman" w:hAnsi="Times New Roman" w:cs="Times New Roman"/>
          <w:sz w:val="24"/>
          <w:szCs w:val="24"/>
        </w:rPr>
        <w:t>1230-1233</w:t>
      </w:r>
      <w:r>
        <w:rPr>
          <w:rFonts w:ascii="Times New Roman" w:hAnsi="Times New Roman" w:cs="Times New Roman"/>
          <w:sz w:val="24"/>
          <w:szCs w:val="24"/>
        </w:rPr>
        <w:t>). New York, NY: McGraw Hill</w:t>
      </w:r>
    </w:p>
    <w:p w:rsidR="008F3100" w:rsidRDefault="008F3100" w:rsidP="00185533">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Nayak, B. &amp; Burman, K</w:t>
      </w:r>
      <w:r w:rsidR="0005073B">
        <w:rPr>
          <w:rFonts w:ascii="Times New Roman" w:hAnsi="Times New Roman" w:cs="Times New Roman"/>
          <w:sz w:val="24"/>
          <w:szCs w:val="24"/>
        </w:rPr>
        <w:t>. (</w:t>
      </w:r>
      <w:r>
        <w:rPr>
          <w:rFonts w:ascii="Times New Roman" w:hAnsi="Times New Roman" w:cs="Times New Roman"/>
          <w:sz w:val="24"/>
          <w:szCs w:val="24"/>
        </w:rPr>
        <w:t>2006).  Thyrotoxicosis in thyroid storm.</w:t>
      </w:r>
      <w:r w:rsidRPr="008F3100">
        <w:rPr>
          <w:rFonts w:ascii="Times New Roman" w:hAnsi="Times New Roman" w:cs="Times New Roman"/>
          <w:i/>
          <w:sz w:val="24"/>
          <w:szCs w:val="24"/>
        </w:rPr>
        <w:t xml:space="preserve">  Endocrinology and Metabolism Clinics of North America</w:t>
      </w:r>
      <w:r>
        <w:rPr>
          <w:rFonts w:ascii="Times New Roman" w:hAnsi="Times New Roman" w:cs="Times New Roman"/>
          <w:sz w:val="24"/>
          <w:szCs w:val="24"/>
        </w:rPr>
        <w:t xml:space="preserve">, </w:t>
      </w:r>
      <w:r w:rsidRPr="008F3100">
        <w:rPr>
          <w:rFonts w:ascii="Times New Roman" w:hAnsi="Times New Roman" w:cs="Times New Roman"/>
          <w:i/>
          <w:sz w:val="24"/>
          <w:szCs w:val="24"/>
        </w:rPr>
        <w:t>35</w:t>
      </w:r>
      <w:r>
        <w:rPr>
          <w:rFonts w:ascii="Times New Roman" w:hAnsi="Times New Roman" w:cs="Times New Roman"/>
          <w:i/>
          <w:sz w:val="24"/>
          <w:szCs w:val="24"/>
        </w:rPr>
        <w:t>,</w:t>
      </w:r>
      <w:r>
        <w:rPr>
          <w:rFonts w:ascii="Times New Roman" w:hAnsi="Times New Roman" w:cs="Times New Roman"/>
          <w:sz w:val="24"/>
          <w:szCs w:val="24"/>
        </w:rPr>
        <w:t xml:space="preserve"> 663 – 686. doi: 10.1016/j.ecl.2006.09.008</w:t>
      </w:r>
    </w:p>
    <w:p w:rsidR="00DD4E7E" w:rsidRDefault="000D1E48" w:rsidP="00DD4E7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Sisson, J.C., Freitas, J., McDougall, I.R., Dauer, L.T., Hurley, </w:t>
      </w:r>
      <w:r w:rsidR="0005073B">
        <w:rPr>
          <w:rFonts w:ascii="Times New Roman" w:hAnsi="Times New Roman" w:cs="Times New Roman"/>
          <w:sz w:val="24"/>
          <w:szCs w:val="24"/>
        </w:rPr>
        <w:t>J.R., Brierley</w:t>
      </w:r>
      <w:r>
        <w:rPr>
          <w:rFonts w:ascii="Times New Roman" w:hAnsi="Times New Roman" w:cs="Times New Roman"/>
          <w:sz w:val="24"/>
          <w:szCs w:val="24"/>
        </w:rPr>
        <w:t>, J.D., … Greenlee, C. (2011).  Radiation safety in the treatment of patients with thyroid disease by radioactive iodine 131 I: Practice recommendations of the American thyroid Association.</w:t>
      </w:r>
      <w:r w:rsidRPr="000D1E48">
        <w:rPr>
          <w:rFonts w:ascii="Times New Roman" w:hAnsi="Times New Roman" w:cs="Times New Roman"/>
          <w:i/>
          <w:sz w:val="24"/>
          <w:szCs w:val="24"/>
        </w:rPr>
        <w:t xml:space="preserve">  Thyroid</w:t>
      </w:r>
      <w:r>
        <w:rPr>
          <w:rFonts w:ascii="Times New Roman" w:hAnsi="Times New Roman" w:cs="Times New Roman"/>
          <w:sz w:val="24"/>
          <w:szCs w:val="24"/>
        </w:rPr>
        <w:t xml:space="preserve">, </w:t>
      </w:r>
      <w:r w:rsidRPr="000D1E48">
        <w:rPr>
          <w:rFonts w:ascii="Times New Roman" w:hAnsi="Times New Roman" w:cs="Times New Roman"/>
          <w:i/>
          <w:sz w:val="24"/>
          <w:szCs w:val="24"/>
        </w:rPr>
        <w:t>21</w:t>
      </w:r>
      <w:r>
        <w:rPr>
          <w:rFonts w:ascii="Times New Roman" w:hAnsi="Times New Roman" w:cs="Times New Roman"/>
          <w:i/>
          <w:sz w:val="24"/>
          <w:szCs w:val="24"/>
        </w:rPr>
        <w:t>,</w:t>
      </w:r>
      <w:r>
        <w:rPr>
          <w:rFonts w:ascii="Times New Roman" w:hAnsi="Times New Roman" w:cs="Times New Roman"/>
          <w:sz w:val="24"/>
          <w:szCs w:val="24"/>
        </w:rPr>
        <w:t xml:space="preserve"> (335 – 346). doi: </w:t>
      </w:r>
      <w:r w:rsidRPr="000D1E48">
        <w:rPr>
          <w:rFonts w:ascii="Times New Roman" w:hAnsi="Times New Roman" w:cs="Times New Roman"/>
          <w:sz w:val="24"/>
          <w:szCs w:val="24"/>
        </w:rPr>
        <w:t>10.1089/thy.2010.0403</w:t>
      </w:r>
      <w:r>
        <w:rPr>
          <w:rFonts w:ascii="Times New Roman" w:hAnsi="Times New Roman" w:cs="Times New Roman"/>
          <w:sz w:val="24"/>
          <w:szCs w:val="24"/>
        </w:rPr>
        <w:t xml:space="preserve"> </w:t>
      </w:r>
    </w:p>
    <w:p w:rsidR="00DD4E7E" w:rsidRDefault="00DD4E7E" w:rsidP="00DD4E7E">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Ross, D.S.  (2013).  Thyroid storm. Uptodate®.  Retrieved from </w:t>
      </w:r>
      <w:hyperlink r:id="rId10" w:history="1">
        <w:r w:rsidRPr="00036276">
          <w:rPr>
            <w:rStyle w:val="Hyperlink"/>
            <w:rFonts w:ascii="Times New Roman" w:hAnsi="Times New Roman" w:cs="Times New Roman"/>
            <w:sz w:val="24"/>
            <w:szCs w:val="24"/>
          </w:rPr>
          <w:t>http://www.uptodate.com/contents/thyroid-storm</w:t>
        </w:r>
      </w:hyperlink>
      <w:r>
        <w:rPr>
          <w:rFonts w:ascii="Times New Roman" w:hAnsi="Times New Roman" w:cs="Times New Roman"/>
          <w:sz w:val="24"/>
          <w:szCs w:val="24"/>
        </w:rPr>
        <w:t xml:space="preserve"> </w:t>
      </w:r>
    </w:p>
    <w:p w:rsidR="00DD4E7E" w:rsidRPr="000D1E48" w:rsidRDefault="00DD4E7E" w:rsidP="00DD4E7E">
      <w:pPr>
        <w:spacing w:line="480" w:lineRule="auto"/>
        <w:ind w:left="720" w:hanging="720"/>
        <w:contextualSpacing/>
        <w:rPr>
          <w:rFonts w:ascii="Times New Roman" w:hAnsi="Times New Roman" w:cs="Times New Roman"/>
          <w:sz w:val="24"/>
          <w:szCs w:val="24"/>
        </w:rPr>
      </w:pPr>
    </w:p>
    <w:p w:rsidR="003153CA" w:rsidRPr="003153CA" w:rsidRDefault="003153CA" w:rsidP="0037192A">
      <w:pPr>
        <w:spacing w:line="480" w:lineRule="auto"/>
        <w:ind w:left="720" w:hanging="720"/>
        <w:contextualSpacing/>
        <w:rPr>
          <w:rFonts w:ascii="Times New Roman" w:hAnsi="Times New Roman" w:cs="Times New Roman"/>
          <w:sz w:val="24"/>
          <w:szCs w:val="24"/>
          <w:lang w:val="en"/>
        </w:rPr>
      </w:pPr>
    </w:p>
    <w:sectPr w:rsidR="003153CA" w:rsidRPr="003153CA" w:rsidSect="006D6F6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F7" w:rsidRDefault="009805F7" w:rsidP="006D6F6E">
      <w:pPr>
        <w:spacing w:after="0" w:line="240" w:lineRule="auto"/>
      </w:pPr>
      <w:r>
        <w:separator/>
      </w:r>
    </w:p>
  </w:endnote>
  <w:endnote w:type="continuationSeparator" w:id="0">
    <w:p w:rsidR="009805F7" w:rsidRDefault="009805F7" w:rsidP="006D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F7" w:rsidRDefault="009805F7" w:rsidP="006D6F6E">
      <w:pPr>
        <w:spacing w:after="0" w:line="240" w:lineRule="auto"/>
      </w:pPr>
      <w:r>
        <w:separator/>
      </w:r>
    </w:p>
  </w:footnote>
  <w:footnote w:type="continuationSeparator" w:id="0">
    <w:p w:rsidR="009805F7" w:rsidRDefault="009805F7" w:rsidP="006D6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004743"/>
      <w:docPartObj>
        <w:docPartGallery w:val="Page Numbers (Top of Page)"/>
        <w:docPartUnique/>
      </w:docPartObj>
    </w:sdtPr>
    <w:sdtEndPr>
      <w:rPr>
        <w:noProof/>
      </w:rPr>
    </w:sdtEndPr>
    <w:sdtContent>
      <w:p w:rsidR="005D5814" w:rsidRDefault="005D5814">
        <w:pPr>
          <w:pStyle w:val="Header"/>
        </w:pPr>
        <w:r w:rsidRPr="00EC5329">
          <w:rPr>
            <w:rFonts w:ascii="Times New Roman" w:hAnsi="Times New Roman" w:cs="Times New Roman"/>
            <w:sz w:val="24"/>
            <w:szCs w:val="24"/>
          </w:rPr>
          <w:t xml:space="preserve">KISE CASE STUDIES ONE AND TWO                     </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05073B">
          <w:rPr>
            <w:noProof/>
          </w:rPr>
          <w:t>2</w:t>
        </w:r>
        <w:r>
          <w:rPr>
            <w:noProof/>
          </w:rPr>
          <w:fldChar w:fldCharType="end"/>
        </w:r>
      </w:p>
    </w:sdtContent>
  </w:sdt>
  <w:p w:rsidR="005D5814" w:rsidRDefault="005D5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814" w:rsidRDefault="005D5814" w:rsidP="006D6F6E">
    <w:pPr>
      <w:pStyle w:val="Header"/>
    </w:pPr>
    <w:r w:rsidRPr="00EC5329">
      <w:rPr>
        <w:rFonts w:ascii="Times New Roman" w:hAnsi="Times New Roman" w:cs="Times New Roman"/>
        <w:sz w:val="24"/>
        <w:szCs w:val="24"/>
      </w:rPr>
      <w:t xml:space="preserve">Running head: KISE CASE STUDIES ONE AND TWO                     </w:t>
    </w:r>
    <w:r>
      <w:rPr>
        <w:rFonts w:ascii="Times New Roman" w:hAnsi="Times New Roman" w:cs="Times New Roman"/>
        <w:sz w:val="24"/>
        <w:szCs w:val="24"/>
      </w:rPr>
      <w:t xml:space="preserve">                                          1</w:t>
    </w:r>
  </w:p>
  <w:p w:rsidR="005D5814" w:rsidRDefault="005D5814">
    <w:pPr>
      <w:pStyle w:val="Header"/>
    </w:pPr>
  </w:p>
  <w:p w:rsidR="005D5814" w:rsidRDefault="005D5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19824AA-7892-4445-A736-0184318CCE1F}"/>
    <w:docVar w:name="dgnword-eventsink" w:val="100379056"/>
  </w:docVars>
  <w:rsids>
    <w:rsidRoot w:val="006D6F6E"/>
    <w:rsid w:val="00011C1C"/>
    <w:rsid w:val="00014100"/>
    <w:rsid w:val="00022783"/>
    <w:rsid w:val="0003267B"/>
    <w:rsid w:val="0005073B"/>
    <w:rsid w:val="00051224"/>
    <w:rsid w:val="0005168F"/>
    <w:rsid w:val="0005650E"/>
    <w:rsid w:val="000602DF"/>
    <w:rsid w:val="00083839"/>
    <w:rsid w:val="000A081B"/>
    <w:rsid w:val="000B6360"/>
    <w:rsid w:val="000C47A2"/>
    <w:rsid w:val="000D1E48"/>
    <w:rsid w:val="00125498"/>
    <w:rsid w:val="001266E7"/>
    <w:rsid w:val="00152108"/>
    <w:rsid w:val="00185533"/>
    <w:rsid w:val="001D7361"/>
    <w:rsid w:val="001E5A64"/>
    <w:rsid w:val="001F2779"/>
    <w:rsid w:val="00245E7C"/>
    <w:rsid w:val="00255FCD"/>
    <w:rsid w:val="002B0617"/>
    <w:rsid w:val="002C3D7C"/>
    <w:rsid w:val="002C4B1E"/>
    <w:rsid w:val="002D17D9"/>
    <w:rsid w:val="002E0165"/>
    <w:rsid w:val="002E5C5E"/>
    <w:rsid w:val="00300F06"/>
    <w:rsid w:val="00312E9F"/>
    <w:rsid w:val="003153CA"/>
    <w:rsid w:val="00347A6F"/>
    <w:rsid w:val="0037192A"/>
    <w:rsid w:val="003E0B3B"/>
    <w:rsid w:val="003E17E3"/>
    <w:rsid w:val="00403795"/>
    <w:rsid w:val="004268CB"/>
    <w:rsid w:val="00443E0C"/>
    <w:rsid w:val="00466FBE"/>
    <w:rsid w:val="00486BFE"/>
    <w:rsid w:val="004C340B"/>
    <w:rsid w:val="004D758A"/>
    <w:rsid w:val="00544282"/>
    <w:rsid w:val="00550648"/>
    <w:rsid w:val="005601EB"/>
    <w:rsid w:val="00566F7A"/>
    <w:rsid w:val="005762FC"/>
    <w:rsid w:val="00595C2B"/>
    <w:rsid w:val="005D5814"/>
    <w:rsid w:val="005E5B96"/>
    <w:rsid w:val="00650FE5"/>
    <w:rsid w:val="0068280B"/>
    <w:rsid w:val="006C11EB"/>
    <w:rsid w:val="006D6F6E"/>
    <w:rsid w:val="00712C02"/>
    <w:rsid w:val="00724B5A"/>
    <w:rsid w:val="00754D2B"/>
    <w:rsid w:val="00760470"/>
    <w:rsid w:val="007642B7"/>
    <w:rsid w:val="007815E9"/>
    <w:rsid w:val="007A0177"/>
    <w:rsid w:val="007E4EAF"/>
    <w:rsid w:val="008140BC"/>
    <w:rsid w:val="00831160"/>
    <w:rsid w:val="008B1EDC"/>
    <w:rsid w:val="008D0425"/>
    <w:rsid w:val="008D1B30"/>
    <w:rsid w:val="008F3100"/>
    <w:rsid w:val="00906C7F"/>
    <w:rsid w:val="0090737B"/>
    <w:rsid w:val="00914A71"/>
    <w:rsid w:val="0095667A"/>
    <w:rsid w:val="00965BF6"/>
    <w:rsid w:val="009805F7"/>
    <w:rsid w:val="00996FB1"/>
    <w:rsid w:val="009A5C09"/>
    <w:rsid w:val="009B6D66"/>
    <w:rsid w:val="009B73CB"/>
    <w:rsid w:val="009C2A02"/>
    <w:rsid w:val="00A33D22"/>
    <w:rsid w:val="00A42059"/>
    <w:rsid w:val="00A634D9"/>
    <w:rsid w:val="00AF1E35"/>
    <w:rsid w:val="00AF6DBC"/>
    <w:rsid w:val="00B31B16"/>
    <w:rsid w:val="00B471A0"/>
    <w:rsid w:val="00B637A8"/>
    <w:rsid w:val="00B7312F"/>
    <w:rsid w:val="00C477DB"/>
    <w:rsid w:val="00C4797A"/>
    <w:rsid w:val="00C5133E"/>
    <w:rsid w:val="00C91121"/>
    <w:rsid w:val="00C91F21"/>
    <w:rsid w:val="00CF6F72"/>
    <w:rsid w:val="00D25E22"/>
    <w:rsid w:val="00D37BFE"/>
    <w:rsid w:val="00D53303"/>
    <w:rsid w:val="00D53365"/>
    <w:rsid w:val="00D7137E"/>
    <w:rsid w:val="00DB72B7"/>
    <w:rsid w:val="00DC27FB"/>
    <w:rsid w:val="00DD4E7E"/>
    <w:rsid w:val="00DE422C"/>
    <w:rsid w:val="00DE537E"/>
    <w:rsid w:val="00E0282D"/>
    <w:rsid w:val="00E26114"/>
    <w:rsid w:val="00E26EBA"/>
    <w:rsid w:val="00E372C2"/>
    <w:rsid w:val="00E95EA3"/>
    <w:rsid w:val="00E96614"/>
    <w:rsid w:val="00ED24B9"/>
    <w:rsid w:val="00ED46B5"/>
    <w:rsid w:val="00F066F3"/>
    <w:rsid w:val="00F112CA"/>
    <w:rsid w:val="00F15072"/>
    <w:rsid w:val="00F45D39"/>
    <w:rsid w:val="00F542D2"/>
    <w:rsid w:val="00F61D56"/>
    <w:rsid w:val="00F725F1"/>
    <w:rsid w:val="00F76C9A"/>
    <w:rsid w:val="00F81825"/>
    <w:rsid w:val="00FB42AA"/>
    <w:rsid w:val="00FC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F6E"/>
  </w:style>
  <w:style w:type="paragraph" w:styleId="Footer">
    <w:name w:val="footer"/>
    <w:basedOn w:val="Normal"/>
    <w:link w:val="FooterChar"/>
    <w:uiPriority w:val="99"/>
    <w:unhideWhenUsed/>
    <w:rsid w:val="006D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F6E"/>
  </w:style>
  <w:style w:type="table" w:styleId="TableGrid">
    <w:name w:val="Table Grid"/>
    <w:basedOn w:val="TableNormal"/>
    <w:uiPriority w:val="59"/>
    <w:rsid w:val="0005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2A"/>
    <w:rPr>
      <w:rFonts w:ascii="Tahoma" w:hAnsi="Tahoma" w:cs="Tahoma"/>
      <w:sz w:val="16"/>
      <w:szCs w:val="16"/>
    </w:rPr>
  </w:style>
  <w:style w:type="character" w:styleId="Hyperlink">
    <w:name w:val="Hyperlink"/>
    <w:basedOn w:val="DefaultParagraphFont"/>
    <w:uiPriority w:val="99"/>
    <w:unhideWhenUsed/>
    <w:rsid w:val="00F066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F6E"/>
  </w:style>
  <w:style w:type="paragraph" w:styleId="Footer">
    <w:name w:val="footer"/>
    <w:basedOn w:val="Normal"/>
    <w:link w:val="FooterChar"/>
    <w:uiPriority w:val="99"/>
    <w:unhideWhenUsed/>
    <w:rsid w:val="006D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F6E"/>
  </w:style>
  <w:style w:type="table" w:styleId="TableGrid">
    <w:name w:val="Table Grid"/>
    <w:basedOn w:val="TableNormal"/>
    <w:uiPriority w:val="59"/>
    <w:rsid w:val="00051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1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92A"/>
    <w:rPr>
      <w:rFonts w:ascii="Tahoma" w:hAnsi="Tahoma" w:cs="Tahoma"/>
      <w:sz w:val="16"/>
      <w:szCs w:val="16"/>
    </w:rPr>
  </w:style>
  <w:style w:type="character" w:styleId="Hyperlink">
    <w:name w:val="Hyperlink"/>
    <w:basedOn w:val="DefaultParagraphFont"/>
    <w:uiPriority w:val="99"/>
    <w:unhideWhenUsed/>
    <w:rsid w:val="00F066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fp.org/afp/2010/1215/p149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ce.com/files/hyper-guidelines-2011.pdf"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ptodate.com/contents/thyroid-storm" TargetMode="External"/><Relationship Id="rId4" Type="http://schemas.openxmlformats.org/officeDocument/2006/relationships/webSettings" Target="webSettings.xml"/><Relationship Id="rId9" Type="http://schemas.openxmlformats.org/officeDocument/2006/relationships/hyperlink" Target="http://www.ncbi.nlm.nih.gov/pubmed/83252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6330</TotalTime>
  <Pages>15</Pages>
  <Words>3749</Words>
  <Characters>20659</Characters>
  <Application>Microsoft Office Word</Application>
  <DocSecurity>0</DocSecurity>
  <Lines>459</Lines>
  <Paragraphs>205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cobra kise</dc:creator>
  <cp:lastModifiedBy>cobra kise</cp:lastModifiedBy>
  <cp:revision>23</cp:revision>
  <cp:lastPrinted>2013-10-24T15:56:00Z</cp:lastPrinted>
  <dcterms:created xsi:type="dcterms:W3CDTF">2013-09-11T14:55:00Z</dcterms:created>
  <dcterms:modified xsi:type="dcterms:W3CDTF">2013-10-24T18:51:00Z</dcterms:modified>
</cp:coreProperties>
</file>